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E73022" w:rsidRDefault="00E13E6B" w:rsidP="00531D1E">
      <w:pPr>
        <w:ind w:left="2835" w:right="1843" w:hanging="992"/>
        <w:jc w:val="both"/>
        <w:rPr>
          <w:rFonts w:ascii="Tahoma" w:hAnsi="Tahoma" w:cs="Tahoma"/>
          <w:i/>
          <w:sz w:val="20"/>
          <w:szCs w:val="20"/>
        </w:rPr>
      </w:pPr>
      <w:r w:rsidRPr="00E73022">
        <w:rPr>
          <w:rFonts w:ascii="Tahoma" w:hAnsi="Tahoma" w:cs="Tahoma"/>
          <w:b/>
          <w:i/>
          <w:sz w:val="20"/>
          <w:szCs w:val="20"/>
        </w:rPr>
        <w:t xml:space="preserve">Sumilla: </w:t>
      </w:r>
      <w:r w:rsidR="00635F2E" w:rsidRPr="00E73022">
        <w:rPr>
          <w:rFonts w:ascii="Tahoma" w:hAnsi="Tahoma" w:cs="Tahoma"/>
          <w:b/>
          <w:i/>
          <w:sz w:val="20"/>
          <w:szCs w:val="20"/>
        </w:rPr>
        <w:t>“</w:t>
      </w:r>
      <w:r w:rsidR="00B91419" w:rsidRPr="00B91419">
        <w:rPr>
          <w:rFonts w:ascii="Tahoma" w:hAnsi="Tahoma" w:cs="Tahoma"/>
          <w:i/>
          <w:sz w:val="20"/>
          <w:szCs w:val="20"/>
        </w:rPr>
        <w:tab/>
        <w:t>Al respecto, la infracción tipificada en el literal d) del numeral 51.1 del artículo 51 de la Ley en concordancia con el literal d) del numeral 1) del artículo 237 del Reglamento establece como supuesto de hecho indispensable para su configuración, que el Contratista haya suscrito contrato con el Estado, estando impedido para ello de acuerdo a las causales señaladas en el artículo 10 de la Ley, específicamente, por encontrarse incurso en el impedimento establecido en literal k) del artículo 10 del mencionado cuerpo normativo</w:t>
      </w:r>
      <w:r w:rsidR="00635F2E" w:rsidRPr="00E73022">
        <w:rPr>
          <w:rFonts w:ascii="Tahoma" w:hAnsi="Tahoma" w:cs="Tahoma"/>
          <w:i/>
          <w:sz w:val="20"/>
          <w:szCs w:val="20"/>
        </w:rPr>
        <w:t>”.</w:t>
      </w:r>
    </w:p>
    <w:p w:rsidR="00E13E6B" w:rsidRPr="00E73022" w:rsidRDefault="00E13E6B" w:rsidP="00E13E6B">
      <w:pPr>
        <w:ind w:left="2268" w:right="1843"/>
        <w:jc w:val="both"/>
        <w:rPr>
          <w:rFonts w:ascii="Tahoma" w:hAnsi="Tahoma" w:cs="Tahoma"/>
          <w:b/>
          <w:i/>
          <w:sz w:val="20"/>
          <w:szCs w:val="20"/>
          <w:highlight w:val="yellow"/>
        </w:rPr>
      </w:pPr>
    </w:p>
    <w:p w:rsidR="00E13E6B" w:rsidRPr="00E73022" w:rsidRDefault="00E13E6B" w:rsidP="00E13E6B">
      <w:pPr>
        <w:pStyle w:val="Textoindependiente3"/>
        <w:ind w:left="4956" w:firstLine="708"/>
        <w:jc w:val="both"/>
        <w:rPr>
          <w:rFonts w:ascii="Tahoma" w:hAnsi="Tahoma" w:cs="Tahoma"/>
        </w:rPr>
      </w:pPr>
      <w:r w:rsidRPr="00E73022">
        <w:rPr>
          <w:rFonts w:ascii="Tahoma" w:hAnsi="Tahoma" w:cs="Tahoma"/>
        </w:rPr>
        <w:t xml:space="preserve">Lima, </w:t>
      </w:r>
      <w:r w:rsidR="00114ADD">
        <w:rPr>
          <w:rFonts w:ascii="Tahoma" w:hAnsi="Tahoma" w:cs="Tahoma"/>
        </w:rPr>
        <w:t>17 de Mayo de 2011</w:t>
      </w:r>
    </w:p>
    <w:p w:rsidR="00E13E6B" w:rsidRPr="00E73022" w:rsidRDefault="00E13E6B" w:rsidP="00E13E6B">
      <w:pPr>
        <w:pStyle w:val="Textoindependiente3"/>
        <w:jc w:val="both"/>
        <w:rPr>
          <w:rFonts w:ascii="Tahoma" w:hAnsi="Tahoma" w:cs="Tahoma"/>
          <w:b w:val="0"/>
          <w:lang w:val="es-ES"/>
        </w:rPr>
      </w:pPr>
    </w:p>
    <w:p w:rsidR="00E13E6B" w:rsidRPr="00E73022" w:rsidRDefault="00E13E6B" w:rsidP="00E13E6B">
      <w:pPr>
        <w:ind w:firstLine="708"/>
        <w:jc w:val="both"/>
        <w:rPr>
          <w:rFonts w:ascii="Tahoma" w:hAnsi="Tahoma" w:cs="Tahoma"/>
          <w:sz w:val="20"/>
          <w:szCs w:val="20"/>
        </w:rPr>
      </w:pPr>
      <w:r w:rsidRPr="00E73022">
        <w:rPr>
          <w:rFonts w:ascii="Tahoma" w:hAnsi="Tahoma" w:cs="Tahoma"/>
          <w:b/>
          <w:sz w:val="20"/>
          <w:szCs w:val="20"/>
        </w:rPr>
        <w:t>VISTO,</w:t>
      </w:r>
      <w:r w:rsidRPr="00E73022">
        <w:rPr>
          <w:rFonts w:ascii="Tahoma" w:hAnsi="Tahoma" w:cs="Tahoma"/>
          <w:sz w:val="20"/>
          <w:szCs w:val="20"/>
        </w:rPr>
        <w:t xml:space="preserve"> en sesión de fecha </w:t>
      </w:r>
      <w:r w:rsidR="00DD1154" w:rsidRPr="00E73022">
        <w:rPr>
          <w:rFonts w:ascii="Tahoma" w:hAnsi="Tahoma" w:cs="Tahoma"/>
          <w:sz w:val="20"/>
          <w:szCs w:val="20"/>
        </w:rPr>
        <w:t>16 de mayo</w:t>
      </w:r>
      <w:r w:rsidR="00D43251" w:rsidRPr="00E73022">
        <w:rPr>
          <w:rFonts w:ascii="Tahoma" w:hAnsi="Tahoma" w:cs="Tahoma"/>
          <w:sz w:val="20"/>
          <w:szCs w:val="20"/>
        </w:rPr>
        <w:t xml:space="preserve"> </w:t>
      </w:r>
      <w:r w:rsidR="00531D1E" w:rsidRPr="00E73022">
        <w:rPr>
          <w:rFonts w:ascii="Tahoma" w:hAnsi="Tahoma" w:cs="Tahoma"/>
          <w:sz w:val="20"/>
          <w:szCs w:val="20"/>
        </w:rPr>
        <w:t>de 2011</w:t>
      </w:r>
      <w:r w:rsidRPr="00E73022">
        <w:rPr>
          <w:rFonts w:ascii="Tahoma" w:hAnsi="Tahoma" w:cs="Tahoma"/>
          <w:sz w:val="20"/>
          <w:szCs w:val="20"/>
        </w:rPr>
        <w:t xml:space="preserve"> de la </w:t>
      </w:r>
      <w:r w:rsidR="001776B6" w:rsidRPr="00E73022">
        <w:rPr>
          <w:rFonts w:ascii="Tahoma" w:hAnsi="Tahoma" w:cs="Tahoma"/>
          <w:sz w:val="20"/>
          <w:szCs w:val="20"/>
        </w:rPr>
        <w:t>Primera</w:t>
      </w:r>
      <w:r w:rsidRPr="00E73022">
        <w:rPr>
          <w:rFonts w:ascii="Tahoma" w:hAnsi="Tahoma" w:cs="Tahoma"/>
          <w:sz w:val="20"/>
          <w:szCs w:val="20"/>
        </w:rPr>
        <w:t xml:space="preserve"> Sala del Tribunal de Contrataciones del Estado el Expediente № </w:t>
      </w:r>
      <w:r w:rsidR="00C7721D">
        <w:rPr>
          <w:rFonts w:ascii="Tahoma" w:hAnsi="Tahoma" w:cs="Tahoma"/>
          <w:sz w:val="20"/>
          <w:szCs w:val="20"/>
        </w:rPr>
        <w:t>2</w:t>
      </w:r>
      <w:r w:rsidR="00DD1154" w:rsidRPr="00E73022">
        <w:rPr>
          <w:rFonts w:ascii="Tahoma" w:hAnsi="Tahoma" w:cs="Tahoma"/>
          <w:sz w:val="20"/>
          <w:szCs w:val="20"/>
        </w:rPr>
        <w:t>1</w:t>
      </w:r>
      <w:r w:rsidR="00531D1E" w:rsidRPr="00E73022">
        <w:rPr>
          <w:rFonts w:ascii="Tahoma" w:hAnsi="Tahoma" w:cs="Tahoma"/>
          <w:sz w:val="20"/>
          <w:szCs w:val="20"/>
        </w:rPr>
        <w:t>/20</w:t>
      </w:r>
      <w:r w:rsidR="00BF2C04">
        <w:rPr>
          <w:rFonts w:ascii="Tahoma" w:hAnsi="Tahoma" w:cs="Tahoma"/>
          <w:sz w:val="20"/>
          <w:szCs w:val="20"/>
        </w:rPr>
        <w:t>11</w:t>
      </w:r>
      <w:r w:rsidRPr="00E73022">
        <w:rPr>
          <w:rFonts w:ascii="Tahoma" w:hAnsi="Tahoma" w:cs="Tahoma"/>
          <w:sz w:val="20"/>
          <w:szCs w:val="20"/>
        </w:rPr>
        <w:t>.TC, sobre procedimiento administrativo sancionador contra</w:t>
      </w:r>
      <w:r w:rsidR="00140241" w:rsidRPr="00E73022">
        <w:rPr>
          <w:rFonts w:ascii="Tahoma" w:hAnsi="Tahoma" w:cs="Tahoma"/>
          <w:sz w:val="20"/>
          <w:szCs w:val="20"/>
        </w:rPr>
        <w:t xml:space="preserve"> </w:t>
      </w:r>
      <w:r w:rsidR="00D43251" w:rsidRPr="00E73022">
        <w:rPr>
          <w:rFonts w:ascii="Tahoma" w:hAnsi="Tahoma" w:cs="Tahoma"/>
          <w:sz w:val="20"/>
          <w:szCs w:val="20"/>
        </w:rPr>
        <w:t xml:space="preserve">la empresa </w:t>
      </w:r>
      <w:r w:rsidR="00E73022" w:rsidRPr="00E73022">
        <w:rPr>
          <w:rFonts w:ascii="Tahoma" w:hAnsi="Tahoma" w:cs="Tahoma"/>
          <w:sz w:val="20"/>
          <w:szCs w:val="20"/>
        </w:rPr>
        <w:t>COMPANIA IMPORTADORA VAL S.A.</w:t>
      </w:r>
      <w:r w:rsidR="00D43251" w:rsidRPr="00E73022">
        <w:rPr>
          <w:rFonts w:ascii="Tahoma" w:hAnsi="Tahoma" w:cs="Tahoma"/>
          <w:sz w:val="20"/>
          <w:szCs w:val="20"/>
        </w:rPr>
        <w:t xml:space="preserve"> </w:t>
      </w:r>
      <w:r w:rsidRPr="00E73022">
        <w:rPr>
          <w:rFonts w:ascii="Tahoma" w:hAnsi="Tahoma" w:cs="Tahoma"/>
          <w:sz w:val="20"/>
          <w:szCs w:val="20"/>
        </w:rPr>
        <w:t xml:space="preserve">por supuesta responsabilidad </w:t>
      </w:r>
      <w:r w:rsidR="00E73022">
        <w:rPr>
          <w:rFonts w:ascii="Tahoma" w:hAnsi="Tahoma" w:cs="Tahoma"/>
          <w:sz w:val="20"/>
          <w:szCs w:val="20"/>
        </w:rPr>
        <w:t>de ésta</w:t>
      </w:r>
      <w:r w:rsidR="00E73022" w:rsidRPr="00E73022">
        <w:rPr>
          <w:rFonts w:ascii="Tahoma" w:hAnsi="Tahoma" w:cs="Tahoma"/>
          <w:sz w:val="20"/>
          <w:szCs w:val="20"/>
        </w:rPr>
        <w:t>, por haber contratado con la Estado pese a estar impedido de acuerdo con lo previsto en el artículo 10 de la Ley</w:t>
      </w:r>
      <w:r w:rsidR="00466DC8" w:rsidRPr="00E73022">
        <w:rPr>
          <w:rFonts w:ascii="Tahoma" w:hAnsi="Tahoma" w:cs="Tahoma"/>
          <w:sz w:val="20"/>
          <w:szCs w:val="20"/>
        </w:rPr>
        <w:t>, derivada</w:t>
      </w:r>
      <w:r w:rsidR="000B0A8A" w:rsidRPr="00E73022">
        <w:rPr>
          <w:rFonts w:ascii="Tahoma" w:hAnsi="Tahoma" w:cs="Tahoma"/>
          <w:sz w:val="20"/>
          <w:szCs w:val="20"/>
        </w:rPr>
        <w:t xml:space="preserve"> de la</w:t>
      </w:r>
      <w:r w:rsidRPr="00E73022">
        <w:rPr>
          <w:rFonts w:ascii="Tahoma" w:hAnsi="Tahoma" w:cs="Tahoma"/>
          <w:sz w:val="20"/>
          <w:szCs w:val="20"/>
        </w:rPr>
        <w:t xml:space="preserve"> </w:t>
      </w:r>
      <w:r w:rsidR="000E7801" w:rsidRPr="000E7801">
        <w:rPr>
          <w:rFonts w:ascii="Tahoma" w:hAnsi="Tahoma" w:cs="Tahoma"/>
          <w:sz w:val="20"/>
          <w:szCs w:val="20"/>
        </w:rPr>
        <w:t>Adjudicación de Menor Cuantía № 001-2010-MDN/CEP</w:t>
      </w:r>
      <w:r w:rsidR="00D43251" w:rsidRPr="00E73022">
        <w:rPr>
          <w:rFonts w:ascii="Tahoma" w:hAnsi="Tahoma" w:cs="Tahoma"/>
          <w:sz w:val="20"/>
          <w:szCs w:val="20"/>
        </w:rPr>
        <w:t xml:space="preserve">, </w:t>
      </w:r>
      <w:r w:rsidR="008422E3" w:rsidRPr="00E73022">
        <w:rPr>
          <w:rFonts w:ascii="Tahoma" w:hAnsi="Tahoma" w:cs="Tahoma"/>
          <w:sz w:val="20"/>
          <w:szCs w:val="20"/>
        </w:rPr>
        <w:t>primera</w:t>
      </w:r>
      <w:r w:rsidR="00D43251" w:rsidRPr="00E73022">
        <w:rPr>
          <w:rFonts w:ascii="Tahoma" w:hAnsi="Tahoma" w:cs="Tahoma"/>
          <w:sz w:val="20"/>
          <w:szCs w:val="20"/>
        </w:rPr>
        <w:t xml:space="preserve"> convocatoria</w:t>
      </w:r>
      <w:r w:rsidRPr="00E73022">
        <w:rPr>
          <w:rFonts w:ascii="Tahoma" w:hAnsi="Tahoma" w:cs="Tahoma"/>
          <w:sz w:val="20"/>
          <w:szCs w:val="20"/>
        </w:rPr>
        <w:t xml:space="preserve">, </w:t>
      </w:r>
      <w:r w:rsidR="00D43251" w:rsidRPr="00E73022">
        <w:rPr>
          <w:rFonts w:ascii="Tahoma" w:hAnsi="Tahoma" w:cs="Tahoma"/>
          <w:sz w:val="20"/>
          <w:szCs w:val="20"/>
        </w:rPr>
        <w:t xml:space="preserve">realizada por </w:t>
      </w:r>
      <w:r w:rsidR="00B91419" w:rsidRPr="00B91419">
        <w:rPr>
          <w:rFonts w:ascii="Tahoma" w:hAnsi="Tahoma" w:cs="Tahoma"/>
          <w:sz w:val="20"/>
          <w:szCs w:val="20"/>
        </w:rPr>
        <w:t>la Municipalidad Distrital de Nuñoa</w:t>
      </w:r>
      <w:r w:rsidRPr="00E73022">
        <w:rPr>
          <w:rFonts w:ascii="Tahoma" w:hAnsi="Tahoma" w:cs="Tahoma"/>
          <w:sz w:val="20"/>
          <w:szCs w:val="20"/>
        </w:rPr>
        <w:t>, para</w:t>
      </w:r>
      <w:r w:rsidR="00903A92" w:rsidRPr="00E73022">
        <w:rPr>
          <w:rFonts w:ascii="Tahoma" w:hAnsi="Tahoma" w:cs="Tahoma"/>
          <w:sz w:val="20"/>
          <w:szCs w:val="20"/>
        </w:rPr>
        <w:t xml:space="preserve"> </w:t>
      </w:r>
      <w:r w:rsidR="00D43251" w:rsidRPr="00E73022">
        <w:rPr>
          <w:rFonts w:ascii="Tahoma" w:hAnsi="Tahoma" w:cs="Tahoma"/>
          <w:sz w:val="20"/>
          <w:szCs w:val="20"/>
        </w:rPr>
        <w:t xml:space="preserve">la </w:t>
      </w:r>
      <w:r w:rsidR="00B91419" w:rsidRPr="00B91419">
        <w:rPr>
          <w:rFonts w:ascii="Tahoma" w:hAnsi="Tahoma" w:cs="Tahoma"/>
          <w:sz w:val="20"/>
          <w:szCs w:val="20"/>
        </w:rPr>
        <w:t>“Adquisición de 01 Cargador Frontal Sobre Ruedas”</w:t>
      </w:r>
      <w:r w:rsidRPr="00E73022">
        <w:rPr>
          <w:rFonts w:ascii="Tahoma" w:hAnsi="Tahoma" w:cs="Tahoma"/>
          <w:sz w:val="20"/>
          <w:szCs w:val="20"/>
        </w:rPr>
        <w:t xml:space="preserve">, y; atendiendo a los siguientes:  </w:t>
      </w:r>
    </w:p>
    <w:p w:rsidR="00E13E6B" w:rsidRPr="00E73022" w:rsidRDefault="00E13E6B" w:rsidP="00E13E6B">
      <w:pPr>
        <w:ind w:right="45"/>
        <w:jc w:val="both"/>
        <w:rPr>
          <w:rFonts w:ascii="Tahoma" w:hAnsi="Tahoma" w:cs="Tahoma"/>
          <w:b/>
          <w:sz w:val="20"/>
          <w:szCs w:val="20"/>
        </w:rPr>
      </w:pPr>
    </w:p>
    <w:p w:rsidR="00E13E6B" w:rsidRPr="00E73022" w:rsidRDefault="00E13E6B" w:rsidP="00E13E6B">
      <w:pPr>
        <w:ind w:firstLine="567"/>
        <w:jc w:val="both"/>
        <w:rPr>
          <w:rFonts w:ascii="Tahoma" w:hAnsi="Tahoma" w:cs="Tahoma"/>
          <w:b/>
          <w:sz w:val="20"/>
          <w:szCs w:val="20"/>
        </w:rPr>
      </w:pPr>
      <w:r w:rsidRPr="00E73022">
        <w:rPr>
          <w:rFonts w:ascii="Tahoma" w:hAnsi="Tahoma" w:cs="Tahoma"/>
          <w:b/>
          <w:sz w:val="20"/>
          <w:szCs w:val="20"/>
        </w:rPr>
        <w:t>ANTECEDENTES:</w:t>
      </w:r>
    </w:p>
    <w:p w:rsidR="00E13E6B" w:rsidRPr="00E73022" w:rsidRDefault="00E13E6B" w:rsidP="00E13E6B">
      <w:pPr>
        <w:ind w:left="426"/>
        <w:jc w:val="both"/>
        <w:rPr>
          <w:rFonts w:ascii="Tahoma" w:hAnsi="Tahoma" w:cs="Tahoma"/>
          <w:b/>
          <w:bCs/>
          <w:shadow/>
          <w:sz w:val="20"/>
          <w:szCs w:val="20"/>
        </w:rPr>
      </w:pPr>
    </w:p>
    <w:p w:rsidR="00E73022" w:rsidRPr="00E73022" w:rsidRDefault="00E73022" w:rsidP="00E73022">
      <w:pPr>
        <w:numPr>
          <w:ilvl w:val="0"/>
          <w:numId w:val="30"/>
        </w:numPr>
        <w:tabs>
          <w:tab w:val="clear" w:pos="720"/>
          <w:tab w:val="num" w:pos="567"/>
          <w:tab w:val="left" w:pos="4320"/>
        </w:tabs>
        <w:ind w:left="567" w:hanging="567"/>
        <w:jc w:val="both"/>
        <w:rPr>
          <w:rFonts w:ascii="Tahoma" w:hAnsi="Tahoma" w:cs="Tahoma"/>
          <w:b/>
          <w:bCs/>
          <w:sz w:val="20"/>
          <w:szCs w:val="20"/>
        </w:rPr>
      </w:pPr>
      <w:r w:rsidRPr="00E73022">
        <w:rPr>
          <w:rFonts w:ascii="Tahoma" w:hAnsi="Tahoma" w:cs="Tahoma"/>
          <w:sz w:val="20"/>
          <w:szCs w:val="20"/>
        </w:rPr>
        <w:t>El 19 de febrero de 2010, la Municipalidad Distrital de Nuñoa, Departamento de Puno</w:t>
      </w:r>
      <w:r w:rsidRPr="00E73022">
        <w:rPr>
          <w:rFonts w:ascii="Tahoma" w:hAnsi="Tahoma" w:cs="Tahoma"/>
          <w:sz w:val="20"/>
          <w:szCs w:val="20"/>
          <w:lang w:val="es-PE"/>
        </w:rPr>
        <w:t xml:space="preserve">, en adelante la Entidad, </w:t>
      </w:r>
      <w:r w:rsidRPr="00E73022">
        <w:rPr>
          <w:rFonts w:ascii="Tahoma" w:hAnsi="Tahoma" w:cs="Tahoma"/>
          <w:sz w:val="20"/>
          <w:szCs w:val="20"/>
        </w:rPr>
        <w:t>convocó la Adjudicación de Menor Cuantía № 001-2010-MDN/CEP, derivado de la Licitación Pública № 005-2009-MDN/CEP, segunda convocatoria, para la “Adquisición de 01 Cargador Frontal Sobre Ruedas”, bajo el sistema de suma alzada, con un valor referencial ascendente a S/. 871 175.00  (Ochocientos setenta y un mil ciento setenta y cinco con 00/100 nuevos soles), incluido los impuestos de Ley.</w:t>
      </w:r>
    </w:p>
    <w:p w:rsidR="00E73022" w:rsidRPr="00E73022" w:rsidRDefault="00E73022" w:rsidP="00E73022">
      <w:pPr>
        <w:tabs>
          <w:tab w:val="left" w:pos="4320"/>
        </w:tabs>
        <w:ind w:left="567"/>
        <w:jc w:val="both"/>
        <w:rPr>
          <w:rFonts w:ascii="Tahoma" w:hAnsi="Tahoma" w:cs="Tahoma"/>
          <w:b/>
          <w:bCs/>
          <w:sz w:val="20"/>
          <w:szCs w:val="20"/>
        </w:rPr>
      </w:pPr>
    </w:p>
    <w:p w:rsidR="00E73022" w:rsidRPr="00E73022" w:rsidRDefault="00E73022" w:rsidP="00E73022">
      <w:pPr>
        <w:numPr>
          <w:ilvl w:val="0"/>
          <w:numId w:val="30"/>
        </w:numPr>
        <w:tabs>
          <w:tab w:val="clear" w:pos="720"/>
          <w:tab w:val="num" w:pos="567"/>
          <w:tab w:val="left" w:pos="4320"/>
        </w:tabs>
        <w:ind w:left="567" w:hanging="567"/>
        <w:jc w:val="both"/>
        <w:rPr>
          <w:rFonts w:ascii="Tahoma" w:hAnsi="Tahoma" w:cs="Tahoma"/>
          <w:b/>
          <w:bCs/>
          <w:sz w:val="20"/>
          <w:szCs w:val="20"/>
        </w:rPr>
      </w:pPr>
      <w:r w:rsidRPr="00E73022">
        <w:rPr>
          <w:rFonts w:ascii="Tahoma" w:hAnsi="Tahoma" w:cs="Tahoma"/>
          <w:bCs/>
          <w:sz w:val="20"/>
          <w:szCs w:val="20"/>
        </w:rPr>
        <w:t>El 26 de febrero de 2010, se llevó a cabo el acto de recepción y evaluación de propuestas</w:t>
      </w:r>
      <w:r w:rsidRPr="00E73022">
        <w:rPr>
          <w:rFonts w:ascii="Tahoma" w:hAnsi="Tahoma" w:cs="Tahoma"/>
          <w:sz w:val="20"/>
          <w:szCs w:val="20"/>
        </w:rPr>
        <w:t>, luego del cual, se otorgó la Buena Pro a la empresa COMPANIA IMPORTADORA VAL S.A., por su oferta económica equivalente a la suma de S/. 691 000.00 nuevos soles, incluidos los impuestos de ley.</w:t>
      </w:r>
    </w:p>
    <w:p w:rsidR="00E73022" w:rsidRPr="00E73022" w:rsidRDefault="00E73022" w:rsidP="00E73022">
      <w:pPr>
        <w:pStyle w:val="Prrafodelista"/>
        <w:rPr>
          <w:rFonts w:ascii="Tahoma" w:hAnsi="Tahoma" w:cs="Tahoma"/>
        </w:rPr>
      </w:pPr>
    </w:p>
    <w:p w:rsidR="00E73022" w:rsidRPr="00E73022" w:rsidRDefault="00E73022" w:rsidP="00E73022">
      <w:pPr>
        <w:numPr>
          <w:ilvl w:val="0"/>
          <w:numId w:val="30"/>
        </w:numPr>
        <w:tabs>
          <w:tab w:val="clear" w:pos="720"/>
          <w:tab w:val="num" w:pos="567"/>
          <w:tab w:val="left" w:pos="4320"/>
        </w:tabs>
        <w:ind w:left="567" w:hanging="567"/>
        <w:jc w:val="both"/>
        <w:rPr>
          <w:rFonts w:ascii="Tahoma" w:hAnsi="Tahoma" w:cs="Tahoma"/>
          <w:b/>
          <w:bCs/>
          <w:sz w:val="20"/>
          <w:szCs w:val="20"/>
        </w:rPr>
      </w:pPr>
      <w:r w:rsidRPr="00E73022">
        <w:rPr>
          <w:rFonts w:ascii="Tahoma" w:hAnsi="Tahoma" w:cs="Tahoma"/>
          <w:sz w:val="20"/>
          <w:szCs w:val="20"/>
        </w:rPr>
        <w:t>El 28 de abril de 2010, la Entidad y la empresa COMPANIA IMPORTADORA VAL S.A., en lo sucesivo el Contratista</w:t>
      </w:r>
      <w:r w:rsidRPr="00E73022">
        <w:rPr>
          <w:rStyle w:val="Refdenotaalpie"/>
          <w:rFonts w:ascii="Tahoma" w:hAnsi="Tahoma" w:cs="Tahoma"/>
          <w:sz w:val="20"/>
          <w:szCs w:val="20"/>
        </w:rPr>
        <w:footnoteReference w:id="2"/>
      </w:r>
      <w:r w:rsidRPr="00E73022">
        <w:rPr>
          <w:rFonts w:ascii="Tahoma" w:hAnsi="Tahoma" w:cs="Tahoma"/>
          <w:sz w:val="20"/>
          <w:szCs w:val="20"/>
        </w:rPr>
        <w:t xml:space="preserve"> suscribieron el Contrato derivado del presente proceso de selección, para la entrega de 01 cargador frontal sobre ruedas, por un monto ascendente a  S/. 691 000.00, y cuyo plazo de ejecución contractual culminaba el 06 de mayo del 2010.</w:t>
      </w:r>
    </w:p>
    <w:p w:rsidR="00E73022" w:rsidRPr="00E73022" w:rsidRDefault="00E73022" w:rsidP="00E73022">
      <w:pPr>
        <w:pStyle w:val="Prrafodelista"/>
        <w:rPr>
          <w:rFonts w:ascii="Tahoma" w:hAnsi="Tahoma" w:cs="Tahoma"/>
        </w:rPr>
      </w:pPr>
    </w:p>
    <w:p w:rsidR="00E73022" w:rsidRPr="00E73022" w:rsidRDefault="00E73022" w:rsidP="00E73022">
      <w:pPr>
        <w:numPr>
          <w:ilvl w:val="0"/>
          <w:numId w:val="30"/>
        </w:numPr>
        <w:tabs>
          <w:tab w:val="clear" w:pos="720"/>
          <w:tab w:val="num" w:pos="567"/>
          <w:tab w:val="left" w:pos="4320"/>
        </w:tabs>
        <w:ind w:left="567" w:hanging="567"/>
        <w:jc w:val="both"/>
        <w:rPr>
          <w:rFonts w:ascii="Tahoma" w:hAnsi="Tahoma" w:cs="Tahoma"/>
          <w:b/>
          <w:bCs/>
          <w:sz w:val="20"/>
          <w:szCs w:val="20"/>
        </w:rPr>
      </w:pPr>
      <w:r w:rsidRPr="00E73022">
        <w:rPr>
          <w:rFonts w:ascii="Tahoma" w:hAnsi="Tahoma" w:cs="Tahoma"/>
          <w:sz w:val="20"/>
          <w:szCs w:val="20"/>
        </w:rPr>
        <w:lastRenderedPageBreak/>
        <w:t>Con escrito presentado el 06 de enero de 2011, el señor Eusebio Nemesio Cordova Mejia puso en conocimiento del Tribunal de Contrataciones del Estado, en adelante el Tribunal, que el Contratista había contratado con el Estado estando impedido para ello, de acuerdo a lo previsto en el artículo 10 de la Ley de Contrataciones del Estado.</w:t>
      </w:r>
    </w:p>
    <w:p w:rsidR="00E73022" w:rsidRPr="00E73022" w:rsidRDefault="00E73022" w:rsidP="00E73022">
      <w:pPr>
        <w:pStyle w:val="Prrafodelista"/>
        <w:rPr>
          <w:rFonts w:ascii="Tahoma" w:hAnsi="Tahoma" w:cs="Tahoma"/>
          <w:b/>
          <w:bCs/>
        </w:rPr>
      </w:pPr>
    </w:p>
    <w:p w:rsidR="00E73022" w:rsidRPr="00E73022" w:rsidRDefault="00E73022" w:rsidP="00E73022">
      <w:pPr>
        <w:numPr>
          <w:ilvl w:val="0"/>
          <w:numId w:val="30"/>
        </w:numPr>
        <w:tabs>
          <w:tab w:val="clear" w:pos="720"/>
          <w:tab w:val="num" w:pos="567"/>
          <w:tab w:val="left" w:pos="4320"/>
        </w:tabs>
        <w:ind w:left="567" w:hanging="567"/>
        <w:jc w:val="both"/>
        <w:rPr>
          <w:rFonts w:ascii="Tahoma" w:hAnsi="Tahoma" w:cs="Tahoma"/>
          <w:b/>
          <w:bCs/>
          <w:sz w:val="20"/>
          <w:szCs w:val="20"/>
        </w:rPr>
      </w:pPr>
      <w:r w:rsidRPr="00E73022">
        <w:rPr>
          <w:rFonts w:ascii="Tahoma" w:hAnsi="Tahoma" w:cs="Tahoma"/>
          <w:sz w:val="20"/>
          <w:szCs w:val="20"/>
        </w:rPr>
        <w:t>Mediante decreto de fecha 11 de enero de 2011, notificado el 13 de febrero del mismo año, previamente al inicio del procedimiento administrativo sancionador, el Tribunal requirió a la Entidad que remita el Informe Técnico Legal de sus asesoría sobre la procedencia y presunta responsabilidad del Contratista en los hechos denunciados, así como los documentos sustentatorios que acrediten la infracción en la que habría incurrido el Contratista.</w:t>
      </w:r>
    </w:p>
    <w:p w:rsidR="00E73022" w:rsidRPr="00E73022" w:rsidRDefault="00E73022" w:rsidP="00E73022">
      <w:pPr>
        <w:pStyle w:val="Prrafodelista"/>
        <w:rPr>
          <w:rFonts w:ascii="Tahoma" w:hAnsi="Tahoma" w:cs="Tahoma"/>
        </w:rPr>
      </w:pPr>
    </w:p>
    <w:p w:rsidR="00E73022" w:rsidRPr="00E73022" w:rsidRDefault="00E73022" w:rsidP="00E73022">
      <w:pPr>
        <w:numPr>
          <w:ilvl w:val="0"/>
          <w:numId w:val="30"/>
        </w:numPr>
        <w:tabs>
          <w:tab w:val="clear" w:pos="720"/>
          <w:tab w:val="num" w:pos="567"/>
          <w:tab w:val="left" w:pos="4320"/>
        </w:tabs>
        <w:ind w:left="567" w:hanging="567"/>
        <w:jc w:val="both"/>
        <w:rPr>
          <w:rFonts w:ascii="Tahoma" w:hAnsi="Tahoma" w:cs="Tahoma"/>
          <w:b/>
          <w:bCs/>
          <w:sz w:val="20"/>
          <w:szCs w:val="20"/>
        </w:rPr>
      </w:pPr>
      <w:r w:rsidRPr="00E73022">
        <w:rPr>
          <w:rFonts w:ascii="Tahoma" w:hAnsi="Tahoma" w:cs="Tahoma"/>
          <w:sz w:val="20"/>
          <w:szCs w:val="20"/>
        </w:rPr>
        <w:t>El 25 de febrero de 2011, a través del Oficio № 033-2011-MDN/A, la Entidad remitió el Informe Técnico Legal № 001-2011-MDN de fecha 21 de febrero de 2011, mediante el cual señaló que se habría configurado el impedimento establecido en el literal K) del artículo 10 de la Ley de Contrataciones del Estado.</w:t>
      </w:r>
    </w:p>
    <w:p w:rsidR="00E73022" w:rsidRPr="00E73022" w:rsidRDefault="00E73022" w:rsidP="00E73022">
      <w:pPr>
        <w:pStyle w:val="Prrafodelista"/>
        <w:rPr>
          <w:rFonts w:ascii="Tahoma" w:hAnsi="Tahoma" w:cs="Tahoma"/>
        </w:rPr>
      </w:pPr>
    </w:p>
    <w:p w:rsidR="00E73022" w:rsidRPr="00E73022" w:rsidRDefault="00E73022" w:rsidP="00E73022">
      <w:pPr>
        <w:tabs>
          <w:tab w:val="left" w:pos="4320"/>
        </w:tabs>
        <w:ind w:left="567"/>
        <w:jc w:val="both"/>
        <w:rPr>
          <w:rFonts w:ascii="Tahoma" w:hAnsi="Tahoma" w:cs="Tahoma"/>
          <w:sz w:val="20"/>
          <w:szCs w:val="20"/>
        </w:rPr>
      </w:pPr>
      <w:r w:rsidRPr="00E73022">
        <w:rPr>
          <w:rFonts w:ascii="Tahoma" w:hAnsi="Tahoma" w:cs="Tahoma"/>
          <w:sz w:val="20"/>
          <w:szCs w:val="20"/>
        </w:rPr>
        <w:t>En efecto, en el citado informe la Entidad indicó que el Contratista se encontraba impedido de participar en procesos de selección y contratar con el Estado, toda vez que el 08 de enero de 2010 el Tribunal de Contrataciones a través de la Resolución № 2759-2009-TC-S4, impuso a la empresa LUZA CORPORATION S.A.C. sanción de inhabilitación temporal en sus derechos para participar en procesos de selección y contratar con el Estado por el periodo de catorce (14) meses, siendo el Gerente General en esa fecha el señor Luis Demetrio Vilca Luza.</w:t>
      </w:r>
    </w:p>
    <w:p w:rsidR="00E73022" w:rsidRPr="00E73022" w:rsidRDefault="00E73022" w:rsidP="00E73022">
      <w:pPr>
        <w:tabs>
          <w:tab w:val="left" w:pos="4320"/>
        </w:tabs>
        <w:ind w:left="567"/>
        <w:jc w:val="both"/>
        <w:rPr>
          <w:rFonts w:ascii="Tahoma" w:hAnsi="Tahoma" w:cs="Tahoma"/>
          <w:sz w:val="20"/>
          <w:szCs w:val="20"/>
        </w:rPr>
      </w:pPr>
    </w:p>
    <w:p w:rsidR="00E73022" w:rsidRPr="00E73022" w:rsidRDefault="00E73022" w:rsidP="00E73022">
      <w:pPr>
        <w:tabs>
          <w:tab w:val="left" w:pos="4320"/>
        </w:tabs>
        <w:ind w:left="567"/>
        <w:jc w:val="both"/>
        <w:rPr>
          <w:rFonts w:ascii="Tahoma" w:hAnsi="Tahoma" w:cs="Tahoma"/>
          <w:b/>
          <w:bCs/>
          <w:sz w:val="20"/>
          <w:szCs w:val="20"/>
        </w:rPr>
      </w:pPr>
      <w:r w:rsidRPr="00E73022">
        <w:rPr>
          <w:rFonts w:ascii="Tahoma" w:hAnsi="Tahoma" w:cs="Tahoma"/>
          <w:sz w:val="20"/>
          <w:szCs w:val="20"/>
        </w:rPr>
        <w:t>De este modo, al ser la referida persona Gerente General del Contratista, ésta se encontraba impedida de participar en procesos de selección y contratar con el Estado conforme a lo establecido por el literal K) del artículo 10) de la Ley de Contrataciones del Estado.</w:t>
      </w:r>
    </w:p>
    <w:p w:rsidR="00E73022" w:rsidRPr="00E73022" w:rsidRDefault="00E73022" w:rsidP="00E73022">
      <w:pPr>
        <w:tabs>
          <w:tab w:val="left" w:pos="4320"/>
        </w:tabs>
        <w:ind w:left="567"/>
        <w:jc w:val="both"/>
        <w:rPr>
          <w:rFonts w:ascii="Tahoma" w:hAnsi="Tahoma" w:cs="Tahoma"/>
          <w:b/>
          <w:bCs/>
          <w:sz w:val="20"/>
          <w:szCs w:val="20"/>
        </w:rPr>
      </w:pPr>
    </w:p>
    <w:p w:rsidR="00E73022" w:rsidRPr="00E73022" w:rsidRDefault="00E73022" w:rsidP="00E73022">
      <w:pPr>
        <w:numPr>
          <w:ilvl w:val="0"/>
          <w:numId w:val="30"/>
        </w:numPr>
        <w:tabs>
          <w:tab w:val="clear" w:pos="720"/>
          <w:tab w:val="num" w:pos="567"/>
          <w:tab w:val="left" w:pos="4320"/>
        </w:tabs>
        <w:ind w:left="567" w:hanging="567"/>
        <w:jc w:val="both"/>
        <w:rPr>
          <w:rFonts w:ascii="Tahoma" w:hAnsi="Tahoma" w:cs="Tahoma"/>
          <w:b/>
          <w:bCs/>
          <w:sz w:val="20"/>
          <w:szCs w:val="20"/>
        </w:rPr>
      </w:pPr>
      <w:r w:rsidRPr="00E73022">
        <w:rPr>
          <w:rFonts w:ascii="Tahoma" w:hAnsi="Tahoma" w:cs="Tahoma"/>
          <w:sz w:val="20"/>
          <w:szCs w:val="20"/>
        </w:rPr>
        <w:t>Mediante decreto de fecha 02 de marzo de 2010, notificado 11 del mismo mes y año, el Tribunal dispuso el inicio del procedimiento administrativo sancionador contra el Contratista por su supuesta responsabilidad en haber contratado con la Estado pese a estar impedido de acuerdo con lo establecido en el literal k) del artículo 10 de la Ley de Contrataciones del Estado. Asimismo, le otorgó el plazo de diez días (10) hábiles para que presentara sus descargos, bajo apercibimiento de resolver con la documentación obrante en autos.</w:t>
      </w:r>
    </w:p>
    <w:p w:rsidR="00E73022" w:rsidRPr="00E73022" w:rsidRDefault="00E73022" w:rsidP="00E73022">
      <w:pPr>
        <w:tabs>
          <w:tab w:val="left" w:pos="4320"/>
        </w:tabs>
        <w:ind w:left="567"/>
        <w:jc w:val="both"/>
        <w:rPr>
          <w:rFonts w:ascii="Tahoma" w:hAnsi="Tahoma" w:cs="Tahoma"/>
          <w:b/>
          <w:bCs/>
          <w:sz w:val="20"/>
          <w:szCs w:val="20"/>
        </w:rPr>
      </w:pPr>
    </w:p>
    <w:p w:rsidR="00E73022" w:rsidRPr="00E73022" w:rsidRDefault="00E73022" w:rsidP="00E73022">
      <w:pPr>
        <w:numPr>
          <w:ilvl w:val="0"/>
          <w:numId w:val="30"/>
        </w:numPr>
        <w:tabs>
          <w:tab w:val="clear" w:pos="720"/>
          <w:tab w:val="num" w:pos="567"/>
          <w:tab w:val="left" w:pos="4320"/>
        </w:tabs>
        <w:ind w:left="567" w:hanging="567"/>
        <w:jc w:val="both"/>
        <w:rPr>
          <w:rFonts w:ascii="Tahoma" w:hAnsi="Tahoma" w:cs="Tahoma"/>
          <w:b/>
          <w:bCs/>
          <w:sz w:val="20"/>
          <w:szCs w:val="20"/>
        </w:rPr>
      </w:pPr>
      <w:r w:rsidRPr="00E73022">
        <w:rPr>
          <w:rFonts w:ascii="Tahoma" w:hAnsi="Tahoma" w:cs="Tahoma"/>
          <w:sz w:val="20"/>
          <w:szCs w:val="20"/>
        </w:rPr>
        <w:t>A través del escrito presentado el 25 y subsanado el 29 de marzo de 2011, el representante legal del Contratista presentó su escrito de descargos, en el cual manifestó que su representada era postora en los procesos de selección convocados por la Entidad, siendo que la sanción impuesta a la empresa LUZA CORPORATION S.A.C. aún no había quedado consentida, razón por la cual, solicitó que se le exima de sanción administrativa.</w:t>
      </w:r>
    </w:p>
    <w:p w:rsidR="006E5571" w:rsidRPr="00E73022" w:rsidRDefault="006E5571" w:rsidP="00E13E6B">
      <w:pPr>
        <w:pStyle w:val="Textoindependiente"/>
        <w:tabs>
          <w:tab w:val="left" w:pos="-2340"/>
          <w:tab w:val="left" w:pos="540"/>
        </w:tabs>
        <w:spacing w:after="0"/>
        <w:ind w:left="180" w:hanging="180"/>
        <w:jc w:val="both"/>
        <w:rPr>
          <w:rFonts w:ascii="Tahoma" w:hAnsi="Tahoma" w:cs="Tahoma"/>
          <w:b/>
          <w:sz w:val="20"/>
          <w:szCs w:val="20"/>
        </w:rPr>
      </w:pPr>
    </w:p>
    <w:p w:rsidR="00E13E6B" w:rsidRPr="00E73022"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E73022">
        <w:rPr>
          <w:rFonts w:ascii="Tahoma" w:hAnsi="Tahoma" w:cs="Tahoma"/>
          <w:b/>
          <w:sz w:val="20"/>
          <w:szCs w:val="20"/>
        </w:rPr>
        <w:tab/>
      </w:r>
      <w:r w:rsidRPr="00E73022">
        <w:rPr>
          <w:rFonts w:ascii="Tahoma" w:hAnsi="Tahoma" w:cs="Tahoma"/>
          <w:b/>
          <w:sz w:val="20"/>
          <w:szCs w:val="20"/>
        </w:rPr>
        <w:tab/>
        <w:t>FUNDAMENTACIÓN:</w:t>
      </w:r>
    </w:p>
    <w:p w:rsidR="00E13E6B" w:rsidRPr="00E73022" w:rsidRDefault="00E13E6B" w:rsidP="00E13E6B">
      <w:pPr>
        <w:pStyle w:val="Sangradetextonormal"/>
        <w:spacing w:after="0"/>
        <w:ind w:left="0"/>
        <w:jc w:val="both"/>
        <w:rPr>
          <w:rFonts w:ascii="Tahoma" w:hAnsi="Tahoma" w:cs="Tahoma"/>
          <w:sz w:val="20"/>
          <w:szCs w:val="20"/>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lastRenderedPageBreak/>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E73022" w:rsidRPr="00E73022" w:rsidRDefault="00E73022" w:rsidP="00E73022">
      <w:pPr>
        <w:pStyle w:val="Prrafodelista"/>
        <w:tabs>
          <w:tab w:val="num" w:pos="567"/>
        </w:tabs>
        <w:ind w:left="567" w:hanging="567"/>
        <w:jc w:val="both"/>
        <w:rPr>
          <w:rFonts w:ascii="Tahoma" w:hAnsi="Tahoma" w:cs="Tahoma"/>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E73022">
        <w:rPr>
          <w:rFonts w:ascii="Tahoma" w:hAnsi="Tahoma" w:cs="Tahoma"/>
          <w:lang w:val="es-MX"/>
        </w:rPr>
        <w:t>51 y 52 de la Ley de Contrataciones del Estado,</w:t>
      </w:r>
      <w:r w:rsidRPr="00E73022">
        <w:rPr>
          <w:rFonts w:ascii="Tahoma" w:hAnsi="Tahoma" w:cs="Tahoma"/>
        </w:rPr>
        <w:t xml:space="preserve"> aprobada mediante Decreto Legislativo № 1017,</w:t>
      </w:r>
      <w:r w:rsidRPr="00E73022">
        <w:rPr>
          <w:rFonts w:ascii="Tahoma" w:hAnsi="Tahoma" w:cs="Tahoma"/>
          <w:lang w:val="es-MX"/>
        </w:rPr>
        <w:t xml:space="preserve"> </w:t>
      </w:r>
      <w:r w:rsidRPr="00E73022">
        <w:rPr>
          <w:rFonts w:ascii="Tahoma" w:hAnsi="Tahoma" w:cs="Tahoma"/>
        </w:rPr>
        <w:t>norma aplicable al momento de la presunta comisión de la infracción</w:t>
      </w:r>
      <w:r w:rsidRPr="00E73022">
        <w:rPr>
          <w:rFonts w:ascii="Tahoma" w:hAnsi="Tahoma" w:cs="Tahoma"/>
          <w:lang w:val="es-MX"/>
        </w:rPr>
        <w:t xml:space="preserve">, y en los casos expresamente previstos en el artículo 237 de su Reglamento, aprobado mediante Decreto Supremo </w:t>
      </w:r>
      <w:r w:rsidRPr="00E73022">
        <w:rPr>
          <w:rFonts w:ascii="Tahoma" w:hAnsi="Tahoma" w:cs="Tahoma"/>
        </w:rPr>
        <w:t xml:space="preserve">№ 184-2008-EF, </w:t>
      </w:r>
      <w:r w:rsidRPr="00E73022">
        <w:rPr>
          <w:rFonts w:ascii="Tahoma" w:hAnsi="Tahoma" w:cs="Tahoma"/>
          <w:lang w:val="es-MX"/>
        </w:rPr>
        <w:t>sin perjuicio de las acciones legales que les correspondan adoptar a las Entidades, dentro de sus respectivas atribuciones, en salvaguarda de sus intereses</w:t>
      </w:r>
      <w:r w:rsidRPr="00E73022">
        <w:rPr>
          <w:rFonts w:ascii="Tahoma" w:hAnsi="Tahoma" w:cs="Tahoma"/>
        </w:rPr>
        <w:t>.</w:t>
      </w:r>
    </w:p>
    <w:p w:rsidR="00E73022" w:rsidRPr="00E73022" w:rsidRDefault="00E73022" w:rsidP="00E73022">
      <w:pPr>
        <w:pStyle w:val="Prrafodelista"/>
        <w:rPr>
          <w:rFonts w:ascii="Tahoma" w:hAnsi="Tahoma" w:cs="Tahoma"/>
          <w:lang w:val="es-PE"/>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lang w:val="es-PE"/>
        </w:rPr>
        <w:t xml:space="preserve">El presente procedimiento administrativo está referido a la supuesta responsabilidad del </w:t>
      </w:r>
      <w:r w:rsidRPr="00E73022">
        <w:rPr>
          <w:rFonts w:ascii="Tahoma" w:hAnsi="Tahoma" w:cs="Tahoma"/>
        </w:rPr>
        <w:t>Contratista, por haber contratado con la Estado pese a estar impedido de acuerdo con lo previsto en el artículo 10 de la Ley, infracción tipificada en literal d) del numeral 51.1 del artículo 51 de la Ley en concordancia con el literal d) del numeral 1 del artículo 237 del Reglamento</w:t>
      </w:r>
      <w:r w:rsidRPr="00E73022">
        <w:rPr>
          <w:rStyle w:val="Refdenotaalpie"/>
          <w:rFonts w:ascii="Tahoma" w:eastAsia="Batang" w:hAnsi="Tahoma" w:cs="Tahoma"/>
        </w:rPr>
        <w:footnoteReference w:id="3"/>
      </w:r>
      <w:r w:rsidRPr="00E73022">
        <w:rPr>
          <w:rFonts w:ascii="Tahoma" w:hAnsi="Tahoma" w:cs="Tahoma"/>
          <w:color w:val="000000"/>
        </w:rPr>
        <w:t xml:space="preserve">, </w:t>
      </w:r>
      <w:r w:rsidRPr="00E73022">
        <w:rPr>
          <w:rFonts w:ascii="Tahoma" w:hAnsi="Tahoma" w:cs="Tahoma"/>
        </w:rPr>
        <w:t>norma vigente al suscitarse los hechos.</w:t>
      </w:r>
    </w:p>
    <w:p w:rsidR="00E73022" w:rsidRPr="00E73022" w:rsidRDefault="00E73022" w:rsidP="00E73022">
      <w:pPr>
        <w:pStyle w:val="Prrafodelista"/>
        <w:rPr>
          <w:rFonts w:ascii="Tahoma" w:hAnsi="Tahoma" w:cs="Tahoma"/>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lang w:val="es-MX"/>
        </w:rPr>
        <w:t xml:space="preserve">Al respecto, la infracción tipificada en el literal d) del numeral 51.1 del artículo 51 de la Ley en concordancia con el literal d) del numeral 1) del artículo 237 del Reglamento establece como supuesto de hecho indispensable para su </w:t>
      </w:r>
      <w:r w:rsidRPr="00E73022">
        <w:rPr>
          <w:rFonts w:ascii="Tahoma" w:hAnsi="Tahoma" w:cs="Tahoma"/>
        </w:rPr>
        <w:t xml:space="preserve">configuración, que el Contratista haya suscrito contrato con el Estado, estando impedido para ello de acuerdo a las causales señaladas en el artículo </w:t>
      </w:r>
      <w:r w:rsidRPr="00E73022">
        <w:rPr>
          <w:rFonts w:ascii="Tahoma" w:hAnsi="Tahoma" w:cs="Tahoma"/>
          <w:lang w:val="es-PE"/>
        </w:rPr>
        <w:t xml:space="preserve">10 de la Ley, específicamente, por </w:t>
      </w:r>
      <w:r w:rsidRPr="00E73022">
        <w:rPr>
          <w:rFonts w:ascii="Tahoma" w:hAnsi="Tahoma" w:cs="Tahoma"/>
        </w:rPr>
        <w:t>encontrarse incurso en el impedimento establecido en literal k</w:t>
      </w:r>
      <w:r w:rsidRPr="00E73022">
        <w:rPr>
          <w:rFonts w:ascii="Tahoma" w:hAnsi="Tahoma" w:cs="Tahoma"/>
          <w:lang w:val="es-PE"/>
        </w:rPr>
        <w:t>) del artículo 10 del mencionado cuerpo normativo.</w:t>
      </w:r>
    </w:p>
    <w:p w:rsidR="00E73022" w:rsidRPr="00E73022" w:rsidRDefault="00E73022" w:rsidP="00E73022">
      <w:pPr>
        <w:pStyle w:val="Prrafodelista"/>
        <w:rPr>
          <w:rFonts w:ascii="Tahoma" w:hAnsi="Tahoma" w:cs="Tahoma"/>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 xml:space="preserve">De esta manera, en virtud del literal k) del artículo 10 de La Ley, establece que están impedidos para ser postor y/o contratista –cualquiera sea el régimen legal de contratación aplicable– </w:t>
      </w:r>
      <w:r w:rsidRPr="00E73022">
        <w:rPr>
          <w:rFonts w:ascii="Tahoma" w:hAnsi="Tahoma" w:cs="Tahoma"/>
          <w:b/>
          <w:i/>
        </w:rPr>
        <w:t xml:space="preserve">las personas jurídicas cuyos </w:t>
      </w:r>
      <w:r w:rsidRPr="00E73022">
        <w:rPr>
          <w:rFonts w:ascii="Tahoma" w:hAnsi="Tahoma" w:cs="Tahoma"/>
          <w:i/>
        </w:rPr>
        <w:t xml:space="preserve">socios, accionistas, participacionistas, titulares, integrantes de los órganos de administración, apoderados o </w:t>
      </w:r>
      <w:r w:rsidRPr="00E73022">
        <w:rPr>
          <w:rFonts w:ascii="Tahoma" w:hAnsi="Tahoma" w:cs="Tahoma"/>
          <w:b/>
          <w:i/>
        </w:rPr>
        <w:t>representantes legales</w:t>
      </w:r>
      <w:r w:rsidRPr="00E73022">
        <w:rPr>
          <w:rFonts w:ascii="Tahoma" w:hAnsi="Tahoma" w:cs="Tahoma"/>
          <w:i/>
        </w:rPr>
        <w:t xml:space="preserve"> </w:t>
      </w:r>
      <w:r w:rsidRPr="00E73022">
        <w:rPr>
          <w:rFonts w:ascii="Tahoma" w:hAnsi="Tahoma" w:cs="Tahoma"/>
          <w:b/>
          <w:i/>
        </w:rPr>
        <w:t>que formen o hayan formado parte,</w:t>
      </w:r>
      <w:r w:rsidRPr="00E73022">
        <w:rPr>
          <w:rFonts w:ascii="Tahoma" w:hAnsi="Tahoma" w:cs="Tahoma"/>
          <w:i/>
        </w:rPr>
        <w:t xml:space="preserve"> </w:t>
      </w:r>
      <w:r w:rsidRPr="00E73022">
        <w:rPr>
          <w:rFonts w:ascii="Tahoma" w:hAnsi="Tahoma" w:cs="Tahoma"/>
          <w:b/>
          <w:i/>
        </w:rPr>
        <w:t>en los últimos doce (12) meses de impuesta la sanción, de personas jurídicas que se encuentren sancionadas administrativamente con inhabilitación temporal o permanente para participar en procesos de selección y para contratar con el Estado</w:t>
      </w:r>
      <w:r w:rsidRPr="00E73022">
        <w:rPr>
          <w:rFonts w:ascii="Tahoma" w:hAnsi="Tahoma" w:cs="Tahoma"/>
          <w:i/>
        </w:rPr>
        <w:t xml:space="preserve">; o que habiendo actuado como personas naturales hayan sido sancionadas por la misma infracción; conforme a los criterios señalados en el presente Decreto Legislativo y su Reglamento. Para el caso de socios, participacionistas, o titulares este impedimento se aplicará siempre y cuando la </w:t>
      </w:r>
      <w:r w:rsidRPr="00E73022">
        <w:rPr>
          <w:rFonts w:ascii="Tahoma" w:hAnsi="Tahoma" w:cs="Tahoma"/>
          <w:i/>
        </w:rPr>
        <w:lastRenderedPageBreak/>
        <w:t>participación sea superior al cinco por ciento (5%) del capital o patrimonio social y por el tiempo que la sanción se encuentre vigente (el resaltado es nuestro)”.</w:t>
      </w:r>
    </w:p>
    <w:p w:rsidR="00E73022" w:rsidRPr="00E73022" w:rsidRDefault="00E73022" w:rsidP="00E73022">
      <w:pPr>
        <w:widowControl w:val="0"/>
        <w:tabs>
          <w:tab w:val="left" w:pos="2410"/>
        </w:tabs>
        <w:suppressAutoHyphens/>
        <w:ind w:left="567"/>
        <w:jc w:val="both"/>
        <w:rPr>
          <w:rFonts w:ascii="Tahoma" w:hAnsi="Tahoma" w:cs="Tahoma"/>
          <w:i/>
          <w:sz w:val="20"/>
          <w:szCs w:val="20"/>
        </w:rPr>
      </w:pPr>
    </w:p>
    <w:p w:rsidR="00E73022" w:rsidRPr="00E73022" w:rsidRDefault="00E73022" w:rsidP="00E73022">
      <w:pPr>
        <w:ind w:left="567"/>
        <w:jc w:val="both"/>
        <w:rPr>
          <w:rFonts w:ascii="Tahoma" w:hAnsi="Tahoma" w:cs="Tahoma"/>
          <w:i/>
          <w:sz w:val="20"/>
          <w:szCs w:val="20"/>
          <w:lang w:val="es-ES_tradnl"/>
        </w:rPr>
      </w:pPr>
      <w:r w:rsidRPr="00E73022">
        <w:rPr>
          <w:rFonts w:ascii="Tahoma" w:hAnsi="Tahoma" w:cs="Tahoma"/>
          <w:sz w:val="20"/>
          <w:szCs w:val="20"/>
        </w:rPr>
        <w:t xml:space="preserve">Al respecto, debe indicarse que el impedimento del literal k) del artículo 10 de la Ley se encuentra circunscrito a que las personas jurídicas sancionadas con inhabilitación temporal y, por tanto, impedidas de contratar con el Estado, tuvieran negada la posibilidad de que, obviando la sanción impuesta, creen una nueva persona jurídica, de modo que puedan seguir contratando con el Estado. En efecto, </w:t>
      </w:r>
      <w:r w:rsidRPr="00E73022">
        <w:rPr>
          <w:rFonts w:ascii="Tahoma" w:hAnsi="Tahoma" w:cs="Tahoma"/>
          <w:i/>
          <w:sz w:val="20"/>
          <w:szCs w:val="20"/>
        </w:rPr>
        <w:t>“</w:t>
      </w:r>
      <w:r w:rsidRPr="00E73022">
        <w:rPr>
          <w:rFonts w:ascii="Tahoma" w:hAnsi="Tahoma" w:cs="Tahoma"/>
          <w:i/>
          <w:sz w:val="20"/>
          <w:szCs w:val="20"/>
          <w:lang w:val="es-ES_tradnl"/>
        </w:rPr>
        <w:t>con la disposición bajo comentario se busca que los efectos de la sanción impuesta por el Tribunal no sean soslayados o desconocidos, lo cual podría suceder si una empresa sancionada, participa en procesos de selección y/o contrata con el Estado, a través de terceras personas, como empresas en las cuales participa a través de los socios, accionistas, participacionistas o titulares, influenciando en las decisiones y en la gestión de la empresa”</w:t>
      </w:r>
      <w:r w:rsidRPr="00E73022">
        <w:rPr>
          <w:rStyle w:val="Refdenotaalpie"/>
          <w:rFonts w:ascii="Tahoma" w:hAnsi="Tahoma" w:cs="Tahoma"/>
          <w:i/>
          <w:sz w:val="20"/>
          <w:szCs w:val="20"/>
          <w:lang w:val="es-ES_tradnl"/>
        </w:rPr>
        <w:footnoteReference w:id="4"/>
      </w:r>
      <w:r w:rsidRPr="00E73022">
        <w:rPr>
          <w:rFonts w:ascii="Tahoma" w:hAnsi="Tahoma" w:cs="Tahoma"/>
          <w:i/>
          <w:sz w:val="20"/>
          <w:szCs w:val="20"/>
          <w:lang w:val="es-ES_tradnl"/>
        </w:rPr>
        <w:t>(Sic)</w:t>
      </w:r>
    </w:p>
    <w:p w:rsidR="00E73022" w:rsidRPr="00E73022" w:rsidRDefault="00E73022" w:rsidP="00E73022">
      <w:pPr>
        <w:ind w:left="567"/>
        <w:jc w:val="both"/>
        <w:rPr>
          <w:rFonts w:ascii="Tahoma" w:hAnsi="Tahoma" w:cs="Tahoma"/>
          <w:i/>
          <w:sz w:val="20"/>
          <w:szCs w:val="20"/>
          <w:lang w:val="es-ES_tradnl"/>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Sobre la base de lo expuesto, en virtud al derecho de defensa que ampara a los administrados, el Contratista presentó sus descargos manifestando que su representada era postora en los procesos de selección convocados por la Entidad, siendo que la sanción impuesta a la empresa LUZA CORPORATION S.A.C. aún no había quedado consentida, razón por la cual, se le eximiera de sanción administrativa.</w:t>
      </w:r>
    </w:p>
    <w:p w:rsidR="00E73022" w:rsidRPr="00E73022" w:rsidRDefault="00E73022" w:rsidP="00E73022">
      <w:pPr>
        <w:pStyle w:val="Prrafodelista"/>
        <w:tabs>
          <w:tab w:val="left" w:pos="4320"/>
        </w:tabs>
        <w:ind w:left="567"/>
        <w:jc w:val="both"/>
        <w:rPr>
          <w:rFonts w:ascii="Tahoma" w:hAnsi="Tahoma" w:cs="Tahoma"/>
          <w:b/>
          <w:bCs/>
        </w:rPr>
      </w:pPr>
    </w:p>
    <w:p w:rsidR="00E73022" w:rsidRPr="00E73022" w:rsidRDefault="00E73022" w:rsidP="00E73022">
      <w:pPr>
        <w:pStyle w:val="Prrafodelista"/>
        <w:numPr>
          <w:ilvl w:val="0"/>
          <w:numId w:val="31"/>
        </w:numPr>
        <w:tabs>
          <w:tab w:val="clear" w:pos="360"/>
          <w:tab w:val="num" w:pos="567"/>
          <w:tab w:val="left" w:pos="4320"/>
        </w:tabs>
        <w:ind w:left="567" w:hanging="567"/>
        <w:jc w:val="both"/>
        <w:rPr>
          <w:rFonts w:ascii="Tahoma" w:hAnsi="Tahoma" w:cs="Tahoma"/>
          <w:b/>
          <w:bCs/>
        </w:rPr>
      </w:pPr>
      <w:r w:rsidRPr="00E73022">
        <w:rPr>
          <w:rFonts w:ascii="Tahoma" w:hAnsi="Tahoma" w:cs="Tahoma"/>
        </w:rPr>
        <w:t>Ahora bien, fluye de los antecedentes administrativos, que con ocasión a la denuncia realizada por la Entidad, mediante Informe № 001-2011-MDN, ésta indicó que el Contratista se encontraba impedido de participar en procesos de selección y contratar con el Estado, toda vez que el 08 de enero de 2010 el Tribunal de Contrataciones a través de la Resolución № 2759-2009-TC-S4, impuso a la empresa LUZA CORPORATION S.A.C. sanción de inhabilitación temporal en sus derechos para participar en procesos de selección y contratar con el Estado por el periodo de catorce (14) meses, siendo el Gerente General en esa fecha el señor Luis Demetrio Vilca Luza. De este modo, al ser la referida persona Gerente General del Contratista, ésta se encontraba impedida de participar en procesos de selección y contratar con el Estado conforme a lo establecido por el literal K) del artículo 10) de la Ley de Contrataciones del Estado.</w:t>
      </w:r>
    </w:p>
    <w:p w:rsidR="00E73022" w:rsidRPr="00E73022" w:rsidRDefault="00E73022" w:rsidP="00E73022">
      <w:pPr>
        <w:tabs>
          <w:tab w:val="num" w:pos="567"/>
        </w:tabs>
        <w:jc w:val="both"/>
        <w:rPr>
          <w:rFonts w:ascii="Tahoma" w:hAnsi="Tahoma" w:cs="Tahoma"/>
          <w:sz w:val="20"/>
          <w:szCs w:val="20"/>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En ese sentido, obra en autos a folio № 107 del expediente administrativo, el Contrato de fecha 28 de abril de 2010</w:t>
      </w:r>
      <w:r w:rsidRPr="00E73022">
        <w:rPr>
          <w:rFonts w:ascii="Tahoma" w:hAnsi="Tahoma" w:cs="Tahoma"/>
          <w:lang w:val="es-PE"/>
        </w:rPr>
        <w:t xml:space="preserve"> suscrito entre la Entidad y el Contratista, luego de resultar este último adjudicatario de la Buena Pro del presente proceso de selección. Dicho contrato fue firmado por el señor </w:t>
      </w:r>
      <w:r w:rsidRPr="00E73022">
        <w:rPr>
          <w:rFonts w:ascii="Tahoma" w:hAnsi="Tahoma" w:cs="Tahoma"/>
        </w:rPr>
        <w:t xml:space="preserve">Luis Demetrio Vilca Luza, </w:t>
      </w:r>
      <w:r w:rsidRPr="00E73022">
        <w:rPr>
          <w:rFonts w:ascii="Tahoma" w:hAnsi="Tahoma" w:cs="Tahoma"/>
          <w:lang w:val="es-PE"/>
        </w:rPr>
        <w:t xml:space="preserve">representante legal del Contratista, siendo éste –según lo informado por la Entidad– </w:t>
      </w:r>
      <w:r w:rsidRPr="00E73022">
        <w:rPr>
          <w:rFonts w:ascii="Tahoma" w:hAnsi="Tahoma" w:cs="Tahoma"/>
          <w:i/>
        </w:rPr>
        <w:t>Gerente General</w:t>
      </w:r>
      <w:r w:rsidRPr="00E73022">
        <w:rPr>
          <w:rFonts w:ascii="Tahoma" w:hAnsi="Tahoma" w:cs="Tahoma"/>
        </w:rPr>
        <w:t xml:space="preserve"> de la empresa LUZA CORPORATION S.A.C.</w:t>
      </w:r>
    </w:p>
    <w:p w:rsidR="00E73022" w:rsidRPr="00E73022" w:rsidRDefault="00E73022" w:rsidP="00E73022">
      <w:pPr>
        <w:pStyle w:val="Prrafodelista"/>
        <w:rPr>
          <w:rFonts w:ascii="Tahoma" w:hAnsi="Tahoma" w:cs="Tahoma"/>
          <w:lang w:val="es-MX"/>
        </w:rPr>
      </w:pPr>
    </w:p>
    <w:p w:rsidR="00E73022" w:rsidRPr="00E73022" w:rsidRDefault="00E73022" w:rsidP="00E73022">
      <w:pPr>
        <w:pStyle w:val="Prrafodelista"/>
        <w:ind w:left="567"/>
        <w:jc w:val="both"/>
        <w:rPr>
          <w:rFonts w:ascii="Tahoma" w:hAnsi="Tahoma" w:cs="Tahoma"/>
        </w:rPr>
      </w:pPr>
      <w:r w:rsidRPr="00E73022">
        <w:rPr>
          <w:rFonts w:ascii="Tahoma" w:hAnsi="Tahoma" w:cs="Tahoma"/>
          <w:lang w:val="es-MX"/>
        </w:rPr>
        <w:t xml:space="preserve">Tal afirmación se ve corroborada con la información obtenido de la página web de la Superintendencia Nacional de administración Tributaria (SUNAT), en el cual es posible verificar que </w:t>
      </w:r>
      <w:r w:rsidRPr="00E73022">
        <w:rPr>
          <w:rFonts w:ascii="Tahoma" w:hAnsi="Tahoma" w:cs="Tahoma"/>
          <w:u w:val="single"/>
          <w:lang w:val="es-MX"/>
        </w:rPr>
        <w:t xml:space="preserve">Luis Demetrio Vilca Luza, con DNI № 25602369 tiene el cargo de Titular- Gerente de la empresa </w:t>
      </w:r>
      <w:r w:rsidRPr="00E73022">
        <w:rPr>
          <w:rFonts w:ascii="Tahoma" w:hAnsi="Tahoma" w:cs="Tahoma"/>
          <w:u w:val="single"/>
        </w:rPr>
        <w:t>LUZA CORPORATION S.A.C.</w:t>
      </w:r>
      <w:r w:rsidRPr="00E73022">
        <w:rPr>
          <w:rFonts w:ascii="Tahoma" w:hAnsi="Tahoma" w:cs="Tahoma"/>
          <w:u w:val="single"/>
          <w:lang w:val="es-MX"/>
        </w:rPr>
        <w:t xml:space="preserve"> desde el 28 de octubre de 2008</w:t>
      </w:r>
      <w:r w:rsidRPr="00E73022">
        <w:rPr>
          <w:rFonts w:ascii="Tahoma" w:hAnsi="Tahoma" w:cs="Tahoma"/>
          <w:lang w:val="es-MX"/>
        </w:rPr>
        <w:t xml:space="preserve">. Asimismo, a obra en el expediente administrativo a folio 165 la Partida Registral № 11063976 de la citada empresa, en el que se advierte que el señor Luis Demetrio Vilca </w:t>
      </w:r>
      <w:r w:rsidRPr="00E73022">
        <w:rPr>
          <w:rFonts w:ascii="Tahoma" w:hAnsi="Tahoma" w:cs="Tahoma"/>
          <w:lang w:val="es-MX"/>
        </w:rPr>
        <w:lastRenderedPageBreak/>
        <w:t>Luza es nombrado Titular - Gerente de la mencionada empresa, según escritura pública del 07 de noviembre de 2008, otorgada al Notario Público, Luis Eduardo Marique Salas.</w:t>
      </w:r>
      <w:r w:rsidRPr="00E73022">
        <w:rPr>
          <w:rFonts w:ascii="Tahoma" w:hAnsi="Tahoma" w:cs="Tahoma"/>
          <w:lang w:val="es-PE"/>
        </w:rPr>
        <w:t xml:space="preserve"> </w:t>
      </w:r>
    </w:p>
    <w:p w:rsidR="00E73022" w:rsidRPr="00E73022" w:rsidRDefault="00E73022" w:rsidP="00E73022">
      <w:pPr>
        <w:pStyle w:val="Prrafodelista"/>
        <w:rPr>
          <w:rFonts w:ascii="Tahoma" w:eastAsia="Calibri" w:hAnsi="Tahoma" w:cs="Tahoma"/>
          <w:lang w:eastAsia="en-US"/>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eastAsia="Calibri" w:hAnsi="Tahoma" w:cs="Tahoma"/>
          <w:lang w:eastAsia="en-US"/>
        </w:rPr>
        <w:t xml:space="preserve">En esa medida, este Colegiado ha tenido a la vista la Resolución № 2759-2009-TC-S4, verificando que ésta fue emitida el 23 de diciembre de 2009. De la revisión de la referida Resolución se advierte que la Cuarta Sala del Tribunal de Contrataciones del Estado, impuso a la empresa </w:t>
      </w:r>
      <w:r w:rsidRPr="00E73022">
        <w:rPr>
          <w:rFonts w:ascii="Tahoma" w:hAnsi="Tahoma" w:cs="Tahoma"/>
        </w:rPr>
        <w:t>LUZA CORPORATION S.A.C.</w:t>
      </w:r>
      <w:r w:rsidRPr="00E73022">
        <w:rPr>
          <w:rFonts w:ascii="Tahoma" w:eastAsia="Calibri" w:hAnsi="Tahoma" w:cs="Tahoma"/>
          <w:lang w:eastAsia="en-US"/>
        </w:rPr>
        <w:t xml:space="preserve">, (aquélla representada por el señor Luis Demetrio Vilca Luza) sanción de inhabilitación temporal en sus derechos para participar en procesos de selección y contratar con el Estado por el periodo de catorce (14) meses. </w:t>
      </w:r>
      <w:r w:rsidRPr="00E73022">
        <w:rPr>
          <w:rFonts w:ascii="Tahoma" w:hAnsi="Tahoma" w:cs="Tahoma"/>
          <w:lang w:val="es-MX"/>
        </w:rPr>
        <w:t>Asimismo, d</w:t>
      </w:r>
      <w:r w:rsidRPr="00E73022">
        <w:rPr>
          <w:rFonts w:ascii="Tahoma" w:hAnsi="Tahoma" w:cs="Tahoma"/>
          <w:color w:val="000000"/>
        </w:rPr>
        <w:t>e conformidad con la información que obra en la base de datos del Registro Nacional de Proveedores del OSCE, dicha sanción se hizo efectiva desde el 08 de enero de 2010 al 07 de marzo de 2011.</w:t>
      </w:r>
    </w:p>
    <w:p w:rsidR="00E73022" w:rsidRPr="00E73022" w:rsidRDefault="00E73022" w:rsidP="00E73022">
      <w:pPr>
        <w:pStyle w:val="Prrafodelista"/>
        <w:rPr>
          <w:rFonts w:ascii="Tahoma" w:eastAsia="Calibri" w:hAnsi="Tahoma" w:cs="Tahoma"/>
          <w:lang w:eastAsia="en-US"/>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eastAsia="Calibri" w:hAnsi="Tahoma" w:cs="Tahoma"/>
          <w:lang w:eastAsia="en-US"/>
        </w:rPr>
        <w:t xml:space="preserve">De este modo, al advertirse que el Gerente General de la empresa </w:t>
      </w:r>
      <w:r w:rsidRPr="00E73022">
        <w:rPr>
          <w:rFonts w:ascii="Tahoma" w:hAnsi="Tahoma" w:cs="Tahoma"/>
        </w:rPr>
        <w:t>LUZA CORPORATION S.A.C.</w:t>
      </w:r>
      <w:r w:rsidRPr="00E73022">
        <w:rPr>
          <w:rFonts w:ascii="Tahoma" w:eastAsia="Calibri" w:hAnsi="Tahoma" w:cs="Tahoma"/>
          <w:lang w:eastAsia="en-US"/>
        </w:rPr>
        <w:t xml:space="preserve"> es el señor Luis Demetrio Vilca Luza, y que dicha empresa ha sido sancionada con inhabilitación temporal para participar en procesos de selección y contratar con el Estado, sanción vigente desde el 08 de enero de 2010, puede colegirse entonces que el Contratista, al momento de contratar con la Entidad (28 de abril de 2010), habría estado impedido de participar en procesos de selección y contratar con el Estado, de modo que en el presente caso la infracción imputada se ha configurado.</w:t>
      </w:r>
    </w:p>
    <w:p w:rsidR="00E73022" w:rsidRPr="00E73022" w:rsidRDefault="00E73022" w:rsidP="00E73022">
      <w:pPr>
        <w:pStyle w:val="Prrafodelista"/>
        <w:rPr>
          <w:rFonts w:ascii="Tahoma" w:hAnsi="Tahoma" w:cs="Tahoma"/>
        </w:rPr>
      </w:pPr>
    </w:p>
    <w:p w:rsidR="00E73022" w:rsidRPr="00E73022" w:rsidRDefault="00E73022" w:rsidP="00E73022">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 xml:space="preserve">Sin perjuicio de lo expuesto, con relación al argumento sostenido por el Contratista con ocasión a sus descargos, cabe indicar que la </w:t>
      </w:r>
      <w:r w:rsidRPr="00E73022">
        <w:rPr>
          <w:rFonts w:ascii="Tahoma" w:eastAsia="Calibri" w:hAnsi="Tahoma" w:cs="Tahoma"/>
          <w:lang w:eastAsia="en-US"/>
        </w:rPr>
        <w:t xml:space="preserve">Resolución № 2759-2009-TC-S4 fue notificada el 29 de diciembre de 2009, la misma que quedó consentida 06 de enero de 2010, al no haber interpuesto el Contratista recurso impugnativo alguno contra la citada resolución, razón por la cual, no resulta amparable lo alegado por éste a fin de eximirle de sanción administrativa; más aún, </w:t>
      </w:r>
      <w:r w:rsidRPr="00E73022">
        <w:rPr>
          <w:rFonts w:ascii="Tahoma" w:hAnsi="Tahoma" w:cs="Tahoma"/>
        </w:rPr>
        <w:t>si no existen factores que permitan justificar la actuación del Contratista al haber trasgredido la normativa de contrataciones públicas, por lo que su conducta califica dentro del supuesto de hecho de la infracción tipificada en el literal d) del numeral 1 del artículo 237 del Reglamento, el cual ha previsto una sanción administrativa de inhabilitación temporal para participar en procesos de selección y contratar con el Estado por un periodo no menor a un año (1) ni mayor de tres (3) años.</w:t>
      </w:r>
    </w:p>
    <w:p w:rsidR="00E73022" w:rsidRPr="00E73022" w:rsidRDefault="00E73022" w:rsidP="00E73022">
      <w:pPr>
        <w:pStyle w:val="Prrafodelista"/>
        <w:rPr>
          <w:rFonts w:ascii="Tahoma" w:eastAsia="Calibri" w:hAnsi="Tahoma" w:cs="Tahoma"/>
          <w:lang w:eastAsia="en-US"/>
        </w:rPr>
      </w:pPr>
    </w:p>
    <w:p w:rsidR="00E73022" w:rsidRPr="00E73022" w:rsidRDefault="00E73022" w:rsidP="00E73022">
      <w:pPr>
        <w:ind w:left="709" w:hanging="567"/>
        <w:jc w:val="both"/>
        <w:rPr>
          <w:rFonts w:ascii="Tahoma" w:hAnsi="Tahoma" w:cs="Tahoma"/>
          <w:sz w:val="20"/>
          <w:szCs w:val="20"/>
          <w:lang w:eastAsia="en-US"/>
        </w:rPr>
      </w:pPr>
    </w:p>
    <w:p w:rsidR="00E73022" w:rsidRPr="00E73022" w:rsidRDefault="00E73022" w:rsidP="00B91419">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En ese orden de ideas, a efectos de graduar la sanción administrativa a imponerse, debe considerarse los criterios establecidos en el artículo 245 del Reglamento</w:t>
      </w:r>
      <w:r w:rsidRPr="00E73022">
        <w:rPr>
          <w:rStyle w:val="Refdenotaalpie"/>
          <w:rFonts w:ascii="Tahoma" w:eastAsia="Batang" w:hAnsi="Tahoma" w:cs="Tahoma"/>
        </w:rPr>
        <w:footnoteReference w:id="5"/>
      </w:r>
      <w:r w:rsidRPr="00E73022">
        <w:rPr>
          <w:rFonts w:ascii="Tahoma" w:hAnsi="Tahoma" w:cs="Tahoma"/>
        </w:rPr>
        <w:t xml:space="preserve">. </w:t>
      </w:r>
    </w:p>
    <w:p w:rsidR="00E73022" w:rsidRPr="00E73022" w:rsidRDefault="00E73022" w:rsidP="00E73022">
      <w:pPr>
        <w:pStyle w:val="Prrafodelista"/>
        <w:jc w:val="both"/>
        <w:rPr>
          <w:rFonts w:ascii="Tahoma" w:hAnsi="Tahoma" w:cs="Tahoma"/>
        </w:rPr>
      </w:pPr>
    </w:p>
    <w:p w:rsidR="00E73022" w:rsidRPr="00E73022" w:rsidRDefault="00E73022" w:rsidP="00B91419">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 xml:space="preserve">En ese sentido, en relación con la naturaleza de la infracción cometida, la contratación con una Entidad estando impedido para ello, constituye una restricción legal (impedimento para contratar con el Estado) dispuesta a fin de velar por la seguridad y protección de los operadores de la contratación estatal. </w:t>
      </w:r>
    </w:p>
    <w:p w:rsidR="00E73022" w:rsidRPr="00E73022" w:rsidRDefault="00E73022" w:rsidP="00B91419">
      <w:pPr>
        <w:pStyle w:val="Prrafodelista"/>
        <w:tabs>
          <w:tab w:val="num" w:pos="567"/>
        </w:tabs>
        <w:rPr>
          <w:rFonts w:ascii="Tahoma" w:hAnsi="Tahoma" w:cs="Tahoma"/>
        </w:rPr>
      </w:pPr>
    </w:p>
    <w:p w:rsidR="00E73022" w:rsidRPr="00E73022" w:rsidRDefault="00E73022" w:rsidP="00B91419">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En igual sentido, en cuanto al criterio de intencionalidad del infractor, debe precisarse que para graduar la sanción constituye un factor subjetivo que se dirige a medir el nivel de participación de la voluntad del agente en la comisión del ilícito. En tal sentido, resulta materialmente imposible que su probanza repose, en estricto, sobre la base de un medio probatorio objetivo. Por el contrario, a efectos de medir la intencionalidad, basta tomar en consideración una serie de hechos ciertos que permitan inferir claramente que existió voluntad de parte del infractor en la comisión del tipo, sea porque quiso obtener provecho propio o sea porque, en el peor de los casos, quiso causar algún tipo de daño. Por ello, el 28 de abril del 2010</w:t>
      </w:r>
      <w:r w:rsidRPr="00E73022">
        <w:rPr>
          <w:rFonts w:ascii="Tahoma" w:hAnsi="Tahoma" w:cs="Tahoma"/>
          <w:color w:val="000000"/>
        </w:rPr>
        <w:t xml:space="preserve">, el representante legal del Contratista tenía conocimiento que su otrora representada (LUZA CORPORATION S.A.C.) había sido sancionada a través de la Resolución № 2759-2009-TC-S4, la misma que se hizo efectiva desde el 08 de enero de 2010, lo que revela la existencia de intencionalidad en la comisión de la infracción. </w:t>
      </w:r>
    </w:p>
    <w:p w:rsidR="00E73022" w:rsidRPr="00E73022" w:rsidRDefault="00E73022" w:rsidP="00B91419">
      <w:pPr>
        <w:pStyle w:val="Prrafodelista"/>
        <w:tabs>
          <w:tab w:val="num" w:pos="567"/>
        </w:tabs>
        <w:rPr>
          <w:rFonts w:ascii="Tahoma" w:hAnsi="Tahoma" w:cs="Tahoma"/>
        </w:rPr>
      </w:pPr>
    </w:p>
    <w:p w:rsidR="00E73022" w:rsidRPr="00E73022" w:rsidRDefault="00E73022" w:rsidP="00B91419">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De esta manera, en lo que atañe al daño causado, es relevante tomar en cuenta, por un lado, la cuantía que subyace el Contrato de fecha 28 de abril de 2010, por el monto de S/. 691 000.00 nuevos soles, y, por el otro, que su conducta generó un daño a la Entidad, en tanto que el daño producto de una infracción administrativa surge con la sola realización de la conducta tipificada como sancionable, y que si bien es cierto, puede existir un grado mayor o menor de perjuicio realizado, es innegable el detrimento ocasionado a los fines y objetivos de la Entidad.</w:t>
      </w:r>
    </w:p>
    <w:p w:rsidR="00E73022" w:rsidRPr="00E73022" w:rsidRDefault="00E73022" w:rsidP="00B91419">
      <w:pPr>
        <w:pStyle w:val="Prrafodelista"/>
        <w:tabs>
          <w:tab w:val="num" w:pos="567"/>
        </w:tabs>
        <w:rPr>
          <w:rFonts w:ascii="Tahoma" w:hAnsi="Tahoma" w:cs="Tahoma"/>
        </w:rPr>
      </w:pPr>
    </w:p>
    <w:p w:rsidR="00E73022" w:rsidRPr="00E73022" w:rsidRDefault="00E73022" w:rsidP="00B91419">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Sin perjuicio de lo anterior, respecto de las condiciones del infractor y de su conducta procesal durante la sustanciación del presente procedimiento administrativo sancionador, abona a favor del infractor la ausencia de antecedentes en la comisión de infracciones, así como que durante el presente procedimiento sancionador el Contratista ha presentado sus descargos.</w:t>
      </w:r>
    </w:p>
    <w:p w:rsidR="00E73022" w:rsidRPr="00E73022" w:rsidRDefault="00E73022" w:rsidP="00B91419">
      <w:pPr>
        <w:pStyle w:val="Prrafodelista"/>
        <w:tabs>
          <w:tab w:val="num" w:pos="567"/>
        </w:tabs>
        <w:rPr>
          <w:rFonts w:ascii="Tahoma" w:hAnsi="Tahoma" w:cs="Tahoma"/>
        </w:rPr>
      </w:pPr>
    </w:p>
    <w:p w:rsidR="00E73022" w:rsidRPr="00E73022" w:rsidRDefault="00E73022" w:rsidP="00B91419">
      <w:pPr>
        <w:pStyle w:val="Prrafodelista"/>
        <w:numPr>
          <w:ilvl w:val="0"/>
          <w:numId w:val="31"/>
        </w:numPr>
        <w:tabs>
          <w:tab w:val="clear" w:pos="360"/>
          <w:tab w:val="num" w:pos="567"/>
        </w:tabs>
        <w:ind w:left="567" w:hanging="567"/>
        <w:jc w:val="both"/>
        <w:rPr>
          <w:rFonts w:ascii="Tahoma" w:hAnsi="Tahoma" w:cs="Tahoma"/>
        </w:rPr>
      </w:pPr>
      <w:r w:rsidRPr="00E73022">
        <w:rPr>
          <w:rFonts w:ascii="Tahoma" w:hAnsi="Tahoma" w:cs="Tahoma"/>
        </w:rPr>
        <w:t xml:space="preserve">Finalmente, resulta importante traer a colación el </w:t>
      </w:r>
      <w:r w:rsidRPr="00E73022">
        <w:rPr>
          <w:rFonts w:ascii="Tahoma" w:hAnsi="Tahoma" w:cs="Tahoma"/>
          <w:i/>
        </w:rPr>
        <w:t>principio de razonabilidad</w:t>
      </w:r>
      <w:r w:rsidRPr="00E73022">
        <w:rPr>
          <w:rFonts w:ascii="Tahoma" w:hAnsi="Tahoma" w:cs="Tahoma"/>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1776B6" w:rsidRPr="00E73022" w:rsidRDefault="001776B6" w:rsidP="001776B6">
      <w:pPr>
        <w:pStyle w:val="Prrafodelista"/>
        <w:jc w:val="both"/>
        <w:rPr>
          <w:rFonts w:ascii="Tahoma" w:hAnsi="Tahoma" w:cs="Tahoma"/>
        </w:rPr>
      </w:pPr>
    </w:p>
    <w:p w:rsidR="00DA127C" w:rsidRPr="00E73022" w:rsidRDefault="00DA127C" w:rsidP="00DA127C">
      <w:pPr>
        <w:ind w:left="567" w:firstLine="567"/>
        <w:jc w:val="both"/>
        <w:rPr>
          <w:rFonts w:ascii="Tahoma" w:hAnsi="Tahoma" w:cs="Tahoma"/>
          <w:sz w:val="20"/>
          <w:szCs w:val="20"/>
        </w:rPr>
      </w:pPr>
      <w:r w:rsidRPr="00E73022">
        <w:rPr>
          <w:rFonts w:ascii="Tahoma" w:hAnsi="Tahoma" w:cs="Tahoma"/>
          <w:color w:val="000000"/>
          <w:sz w:val="20"/>
          <w:szCs w:val="20"/>
        </w:rPr>
        <w:t xml:space="preserve">Por estos fundamentos, de conformidad con el informe del Vocal Ponente </w:t>
      </w:r>
      <w:r w:rsidRPr="00E73022">
        <w:rPr>
          <w:rFonts w:ascii="Tahoma" w:hAnsi="Tahoma" w:cs="Tahoma"/>
          <w:sz w:val="20"/>
          <w:szCs w:val="20"/>
        </w:rPr>
        <w:t>Doctor Carlos Vicente Navas Rondón</w:t>
      </w:r>
      <w:r w:rsidRPr="00E73022">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w:t>
      </w:r>
      <w:r w:rsidRPr="00E73022">
        <w:rPr>
          <w:rFonts w:ascii="Tahoma" w:hAnsi="Tahoma" w:cs="Tahoma"/>
          <w:color w:val="000000"/>
          <w:sz w:val="20"/>
          <w:szCs w:val="20"/>
        </w:rPr>
        <w:lastRenderedPageBreak/>
        <w:t>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E73022" w:rsidRDefault="00E13E6B" w:rsidP="00E13E6B">
      <w:pPr>
        <w:jc w:val="both"/>
        <w:rPr>
          <w:rFonts w:ascii="Tahoma" w:hAnsi="Tahoma" w:cs="Tahoma"/>
          <w:sz w:val="20"/>
          <w:szCs w:val="20"/>
        </w:rPr>
      </w:pPr>
    </w:p>
    <w:p w:rsidR="00DD1154" w:rsidRPr="00E73022" w:rsidRDefault="00DD1154" w:rsidP="00E13E6B">
      <w:pPr>
        <w:jc w:val="both"/>
        <w:rPr>
          <w:rFonts w:ascii="Tahoma" w:hAnsi="Tahoma" w:cs="Tahoma"/>
          <w:sz w:val="20"/>
          <w:szCs w:val="20"/>
        </w:rPr>
      </w:pPr>
    </w:p>
    <w:p w:rsidR="00E13E6B" w:rsidRPr="00E73022" w:rsidRDefault="00E13E6B" w:rsidP="00E13E6B">
      <w:pPr>
        <w:ind w:firstLine="567"/>
        <w:jc w:val="both"/>
        <w:rPr>
          <w:rFonts w:ascii="Tahoma" w:hAnsi="Tahoma" w:cs="Tahoma"/>
          <w:b/>
          <w:sz w:val="20"/>
          <w:szCs w:val="20"/>
        </w:rPr>
      </w:pPr>
      <w:r w:rsidRPr="00E73022">
        <w:rPr>
          <w:rFonts w:ascii="Tahoma" w:hAnsi="Tahoma" w:cs="Tahoma"/>
          <w:b/>
          <w:sz w:val="20"/>
          <w:szCs w:val="20"/>
        </w:rPr>
        <w:t xml:space="preserve">LA SALA RESUELVE: </w:t>
      </w:r>
    </w:p>
    <w:p w:rsidR="00E13E6B" w:rsidRPr="00E73022" w:rsidRDefault="00E13E6B" w:rsidP="00E13E6B">
      <w:pPr>
        <w:ind w:left="400"/>
        <w:jc w:val="both"/>
        <w:rPr>
          <w:rFonts w:ascii="Tahoma" w:hAnsi="Tahoma" w:cs="Tahoma"/>
          <w:snapToGrid w:val="0"/>
          <w:sz w:val="20"/>
          <w:szCs w:val="20"/>
        </w:rPr>
      </w:pPr>
    </w:p>
    <w:p w:rsidR="00E73022" w:rsidRPr="00E73022" w:rsidRDefault="00E73022" w:rsidP="00E73022">
      <w:pPr>
        <w:pStyle w:val="NormalWeb"/>
        <w:numPr>
          <w:ilvl w:val="0"/>
          <w:numId w:val="32"/>
        </w:numPr>
        <w:tabs>
          <w:tab w:val="clear" w:pos="1068"/>
          <w:tab w:val="num" w:pos="567"/>
        </w:tabs>
        <w:spacing w:before="0" w:beforeAutospacing="0" w:after="0" w:afterAutospacing="0"/>
        <w:ind w:left="567" w:hanging="567"/>
        <w:jc w:val="both"/>
        <w:rPr>
          <w:rFonts w:ascii="Tahoma" w:hAnsi="Tahoma" w:cs="Tahoma"/>
          <w:sz w:val="20"/>
          <w:szCs w:val="20"/>
        </w:rPr>
      </w:pPr>
      <w:r w:rsidRPr="00E73022">
        <w:rPr>
          <w:rFonts w:ascii="Tahoma" w:hAnsi="Tahoma" w:cs="Tahoma"/>
          <w:sz w:val="20"/>
          <w:szCs w:val="20"/>
        </w:rPr>
        <w:t>Imponer a la empresa COMPANIA IMPORTADORA VAL S.A. sanción administrativa de inhabilitación temporal por el período de dieciséis (14) meses en sus derechos de participar en procesos de selección y contratar con el Estado, por la infracción tipificada en el literal d) del numeral 51.1 del artículo 51 de la Ley en concordancia con el literal d) del numeral 1 del artículo 237 del Reglamento, la cual entrará en vigencia a partir del sexto día hábil siguiente de su notificación.</w:t>
      </w:r>
    </w:p>
    <w:p w:rsidR="00E73022" w:rsidRPr="00E73022" w:rsidRDefault="00E73022" w:rsidP="00E73022">
      <w:pPr>
        <w:pStyle w:val="Prrafodelista"/>
        <w:rPr>
          <w:rFonts w:ascii="Tahoma" w:hAnsi="Tahoma" w:cs="Tahoma"/>
        </w:rPr>
      </w:pPr>
    </w:p>
    <w:p w:rsidR="00E73022" w:rsidRPr="00E73022" w:rsidRDefault="00E73022" w:rsidP="00E73022">
      <w:pPr>
        <w:pStyle w:val="NormalWeb"/>
        <w:numPr>
          <w:ilvl w:val="0"/>
          <w:numId w:val="32"/>
        </w:numPr>
        <w:tabs>
          <w:tab w:val="clear" w:pos="1068"/>
          <w:tab w:val="num" w:pos="567"/>
        </w:tabs>
        <w:spacing w:before="0" w:beforeAutospacing="0" w:after="0" w:afterAutospacing="0"/>
        <w:ind w:left="567" w:hanging="567"/>
        <w:jc w:val="both"/>
        <w:rPr>
          <w:rFonts w:ascii="Tahoma" w:hAnsi="Tahoma" w:cs="Tahoma"/>
          <w:sz w:val="20"/>
          <w:szCs w:val="20"/>
        </w:rPr>
      </w:pPr>
      <w:r w:rsidRPr="00E73022">
        <w:rPr>
          <w:rFonts w:ascii="Tahoma" w:hAnsi="Tahoma" w:cs="Tahoma"/>
          <w:sz w:val="20"/>
          <w:szCs w:val="20"/>
        </w:rPr>
        <w:t>Comunicar la presente Resolución a la Subdirección del Registro Nacional de Proveedores del Organismo Superior de Contrataciones del Estado (OSCE), para las anotaciones de Ley.</w:t>
      </w:r>
    </w:p>
    <w:p w:rsidR="00E73022" w:rsidRPr="00E73022" w:rsidRDefault="00E73022" w:rsidP="00E73022">
      <w:pPr>
        <w:pStyle w:val="Prrafodelista"/>
        <w:rPr>
          <w:rFonts w:ascii="Tahoma" w:hAnsi="Tahoma" w:cs="Tahoma"/>
        </w:rPr>
      </w:pPr>
    </w:p>
    <w:p w:rsidR="00E13E6B" w:rsidRPr="00E73022" w:rsidRDefault="00E13E6B" w:rsidP="00E13E6B">
      <w:pPr>
        <w:pStyle w:val="Prrafodelista"/>
        <w:jc w:val="both"/>
        <w:rPr>
          <w:rFonts w:ascii="Tahoma" w:hAnsi="Tahoma" w:cs="Tahoma"/>
        </w:rPr>
      </w:pPr>
    </w:p>
    <w:p w:rsidR="00E13E6B" w:rsidRPr="00E73022" w:rsidRDefault="00E13E6B" w:rsidP="00E13E6B">
      <w:pPr>
        <w:pStyle w:val="Textoindependiente21"/>
        <w:ind w:firstLine="360"/>
        <w:rPr>
          <w:rFonts w:cs="Tahoma"/>
          <w:sz w:val="20"/>
        </w:rPr>
      </w:pPr>
      <w:r w:rsidRPr="00E73022">
        <w:rPr>
          <w:rFonts w:cs="Tahoma"/>
          <w:sz w:val="20"/>
        </w:rPr>
        <w:t>Regístrese, comuníquese y publíquese.</w:t>
      </w:r>
    </w:p>
    <w:p w:rsidR="00E13E6B" w:rsidRPr="00E73022" w:rsidRDefault="00E13E6B" w:rsidP="00E13E6B">
      <w:pPr>
        <w:jc w:val="both"/>
        <w:rPr>
          <w:rFonts w:ascii="Tahoma" w:hAnsi="Tahoma" w:cs="Tahoma"/>
          <w:b/>
          <w:bCs/>
          <w:shadow/>
          <w:sz w:val="20"/>
          <w:szCs w:val="20"/>
        </w:rPr>
      </w:pPr>
    </w:p>
    <w:p w:rsidR="00A52C81" w:rsidRPr="00E73022" w:rsidRDefault="00A52C81" w:rsidP="00E13E6B">
      <w:pPr>
        <w:jc w:val="both"/>
        <w:rPr>
          <w:rFonts w:ascii="Tahoma" w:hAnsi="Tahoma" w:cs="Tahoma"/>
          <w:b/>
          <w:bCs/>
          <w:shadow/>
          <w:sz w:val="20"/>
          <w:szCs w:val="20"/>
        </w:rPr>
      </w:pPr>
    </w:p>
    <w:p w:rsidR="006E5BF8" w:rsidRPr="00E73022" w:rsidRDefault="006E5BF8" w:rsidP="00E13E6B">
      <w:pPr>
        <w:jc w:val="both"/>
        <w:rPr>
          <w:rFonts w:ascii="Tahoma" w:hAnsi="Tahoma" w:cs="Tahoma"/>
          <w:b/>
          <w:bCs/>
          <w:shadow/>
          <w:sz w:val="20"/>
          <w:szCs w:val="20"/>
        </w:rPr>
      </w:pPr>
    </w:p>
    <w:p w:rsidR="00DA127C" w:rsidRPr="00E73022" w:rsidRDefault="00DA127C" w:rsidP="00E13E6B">
      <w:pPr>
        <w:jc w:val="both"/>
        <w:rPr>
          <w:rFonts w:ascii="Tahoma" w:hAnsi="Tahoma" w:cs="Tahoma"/>
          <w:b/>
          <w:bCs/>
          <w:shadow/>
          <w:sz w:val="20"/>
          <w:szCs w:val="20"/>
        </w:rPr>
      </w:pPr>
    </w:p>
    <w:p w:rsidR="00DA127C" w:rsidRPr="00E73022" w:rsidRDefault="00DA127C" w:rsidP="00E13E6B">
      <w:pPr>
        <w:jc w:val="both"/>
        <w:rPr>
          <w:rFonts w:ascii="Tahoma" w:hAnsi="Tahoma" w:cs="Tahoma"/>
          <w:b/>
          <w:bCs/>
          <w:shadow/>
          <w:sz w:val="20"/>
          <w:szCs w:val="20"/>
        </w:rPr>
      </w:pPr>
    </w:p>
    <w:p w:rsidR="00DA127C" w:rsidRPr="00E73022" w:rsidRDefault="00DA127C" w:rsidP="00E13E6B">
      <w:pPr>
        <w:jc w:val="both"/>
        <w:rPr>
          <w:rFonts w:ascii="Tahoma" w:hAnsi="Tahoma" w:cs="Tahoma"/>
          <w:b/>
          <w:bCs/>
          <w:shadow/>
          <w:sz w:val="20"/>
          <w:szCs w:val="20"/>
        </w:rPr>
      </w:pPr>
    </w:p>
    <w:p w:rsidR="00EC4953" w:rsidRPr="00E73022" w:rsidRDefault="00EC4953" w:rsidP="00E13E6B">
      <w:pPr>
        <w:jc w:val="both"/>
        <w:rPr>
          <w:rFonts w:ascii="Tahoma" w:hAnsi="Tahoma" w:cs="Tahoma"/>
          <w:b/>
          <w:bCs/>
          <w:shadow/>
          <w:sz w:val="20"/>
          <w:szCs w:val="20"/>
        </w:rPr>
      </w:pPr>
    </w:p>
    <w:p w:rsidR="00E13E6B" w:rsidRPr="00E73022" w:rsidRDefault="00E13E6B" w:rsidP="00295C50">
      <w:pPr>
        <w:jc w:val="center"/>
        <w:rPr>
          <w:rFonts w:ascii="Tahoma" w:hAnsi="Tahoma" w:cs="Tahoma"/>
          <w:b/>
          <w:bCs/>
          <w:shadow/>
          <w:sz w:val="20"/>
          <w:szCs w:val="20"/>
        </w:rPr>
      </w:pPr>
      <w:r w:rsidRPr="00E73022">
        <w:rPr>
          <w:rFonts w:ascii="Tahoma" w:hAnsi="Tahoma" w:cs="Tahoma"/>
          <w:b/>
          <w:bCs/>
          <w:shadow/>
          <w:sz w:val="20"/>
          <w:szCs w:val="20"/>
        </w:rPr>
        <w:t>PRESIDENTE</w:t>
      </w:r>
    </w:p>
    <w:p w:rsidR="00E13E6B" w:rsidRPr="00E73022" w:rsidRDefault="00E13E6B" w:rsidP="00C5251B">
      <w:pPr>
        <w:jc w:val="center"/>
        <w:rPr>
          <w:rFonts w:ascii="Tahoma" w:hAnsi="Tahoma" w:cs="Tahoma"/>
          <w:b/>
          <w:bCs/>
          <w:shadow/>
          <w:sz w:val="20"/>
          <w:szCs w:val="20"/>
        </w:rPr>
      </w:pPr>
    </w:p>
    <w:p w:rsidR="00E13E6B" w:rsidRPr="00E73022" w:rsidRDefault="00E13E6B" w:rsidP="00C5251B">
      <w:pPr>
        <w:jc w:val="center"/>
        <w:rPr>
          <w:rFonts w:ascii="Tahoma" w:hAnsi="Tahoma" w:cs="Tahoma"/>
          <w:b/>
          <w:bCs/>
          <w:shadow/>
          <w:sz w:val="20"/>
          <w:szCs w:val="20"/>
        </w:rPr>
      </w:pPr>
    </w:p>
    <w:p w:rsidR="00DA127C" w:rsidRPr="00E73022" w:rsidRDefault="00DA127C" w:rsidP="00C5251B">
      <w:pPr>
        <w:jc w:val="center"/>
        <w:rPr>
          <w:rFonts w:ascii="Tahoma" w:hAnsi="Tahoma" w:cs="Tahoma"/>
          <w:b/>
          <w:bCs/>
          <w:shadow/>
          <w:sz w:val="20"/>
          <w:szCs w:val="20"/>
        </w:rPr>
      </w:pPr>
    </w:p>
    <w:p w:rsidR="00DA127C" w:rsidRPr="00E73022" w:rsidRDefault="00DA127C" w:rsidP="00C5251B">
      <w:pPr>
        <w:jc w:val="center"/>
        <w:rPr>
          <w:rFonts w:ascii="Tahoma" w:hAnsi="Tahoma" w:cs="Tahoma"/>
          <w:b/>
          <w:bCs/>
          <w:shadow/>
          <w:sz w:val="20"/>
          <w:szCs w:val="20"/>
        </w:rPr>
      </w:pPr>
    </w:p>
    <w:p w:rsidR="00E13E6B" w:rsidRPr="00E73022" w:rsidRDefault="00E13E6B" w:rsidP="00C5251B">
      <w:pPr>
        <w:jc w:val="center"/>
        <w:rPr>
          <w:rFonts w:ascii="Tahoma" w:hAnsi="Tahoma" w:cs="Tahoma"/>
          <w:b/>
          <w:bCs/>
          <w:shadow/>
          <w:sz w:val="20"/>
          <w:szCs w:val="20"/>
        </w:rPr>
      </w:pPr>
    </w:p>
    <w:p w:rsidR="00E13E6B" w:rsidRPr="00E73022" w:rsidRDefault="00E13E6B" w:rsidP="00C5251B">
      <w:pPr>
        <w:jc w:val="center"/>
        <w:rPr>
          <w:rFonts w:ascii="Tahoma" w:hAnsi="Tahoma" w:cs="Tahoma"/>
          <w:b/>
          <w:shadow/>
          <w:sz w:val="20"/>
          <w:szCs w:val="20"/>
        </w:rPr>
      </w:pPr>
      <w:r w:rsidRPr="00E73022">
        <w:rPr>
          <w:rFonts w:ascii="Tahoma" w:hAnsi="Tahoma" w:cs="Tahoma"/>
          <w:b/>
          <w:shadow/>
          <w:sz w:val="20"/>
          <w:szCs w:val="20"/>
        </w:rPr>
        <w:t xml:space="preserve">VOCAL           </w:t>
      </w:r>
      <w:r w:rsidRPr="00E73022">
        <w:rPr>
          <w:rFonts w:ascii="Tahoma" w:hAnsi="Tahoma" w:cs="Tahoma"/>
          <w:b/>
          <w:shadow/>
          <w:sz w:val="20"/>
          <w:szCs w:val="20"/>
        </w:rPr>
        <w:tab/>
      </w:r>
      <w:r w:rsidRPr="00E73022">
        <w:rPr>
          <w:rFonts w:ascii="Tahoma" w:hAnsi="Tahoma" w:cs="Tahoma"/>
          <w:b/>
          <w:shadow/>
          <w:sz w:val="20"/>
          <w:szCs w:val="20"/>
        </w:rPr>
        <w:tab/>
        <w:t xml:space="preserve">                                                                VOCAL</w:t>
      </w:r>
    </w:p>
    <w:p w:rsidR="00635F2E" w:rsidRPr="00E73022" w:rsidRDefault="00635F2E" w:rsidP="00E13E6B">
      <w:pPr>
        <w:jc w:val="both"/>
        <w:rPr>
          <w:rFonts w:ascii="Tahoma" w:hAnsi="Tahoma" w:cs="Tahoma"/>
          <w:sz w:val="20"/>
          <w:szCs w:val="20"/>
        </w:rPr>
      </w:pPr>
    </w:p>
    <w:p w:rsidR="00635F2E" w:rsidRPr="00E73022" w:rsidRDefault="00635F2E" w:rsidP="00E13E6B">
      <w:pPr>
        <w:jc w:val="both"/>
        <w:rPr>
          <w:rFonts w:ascii="Tahoma" w:hAnsi="Tahoma" w:cs="Tahoma"/>
          <w:sz w:val="20"/>
          <w:szCs w:val="20"/>
        </w:rPr>
      </w:pPr>
    </w:p>
    <w:p w:rsidR="00635F2E" w:rsidRPr="00E73022" w:rsidRDefault="00635F2E" w:rsidP="00E13E6B">
      <w:pPr>
        <w:jc w:val="both"/>
        <w:rPr>
          <w:rFonts w:ascii="Tahoma" w:hAnsi="Tahoma" w:cs="Tahoma"/>
          <w:sz w:val="20"/>
          <w:szCs w:val="20"/>
        </w:rPr>
      </w:pPr>
    </w:p>
    <w:p w:rsidR="00E13E6B" w:rsidRPr="00E73022" w:rsidRDefault="00E13E6B" w:rsidP="00E13E6B">
      <w:pPr>
        <w:jc w:val="both"/>
        <w:rPr>
          <w:rFonts w:ascii="Tahoma" w:hAnsi="Tahoma" w:cs="Tahoma"/>
          <w:sz w:val="20"/>
          <w:szCs w:val="20"/>
        </w:rPr>
      </w:pPr>
      <w:r w:rsidRPr="00E73022">
        <w:rPr>
          <w:rFonts w:ascii="Tahoma" w:hAnsi="Tahoma" w:cs="Tahoma"/>
          <w:sz w:val="20"/>
          <w:szCs w:val="20"/>
        </w:rPr>
        <w:t>ss.</w:t>
      </w:r>
    </w:p>
    <w:p w:rsidR="00351F6F" w:rsidRPr="00E73022" w:rsidRDefault="00351F6F" w:rsidP="00351F6F">
      <w:pPr>
        <w:jc w:val="both"/>
        <w:rPr>
          <w:rFonts w:ascii="Tahoma" w:hAnsi="Tahoma" w:cs="Tahoma"/>
          <w:sz w:val="20"/>
          <w:szCs w:val="20"/>
        </w:rPr>
      </w:pPr>
      <w:r w:rsidRPr="00E73022">
        <w:rPr>
          <w:rFonts w:ascii="Tahoma" w:hAnsi="Tahoma" w:cs="Tahoma"/>
          <w:sz w:val="20"/>
          <w:szCs w:val="20"/>
        </w:rPr>
        <w:t>Navas Rondón</w:t>
      </w:r>
    </w:p>
    <w:p w:rsidR="00351F6F" w:rsidRPr="00E73022" w:rsidRDefault="00351F6F" w:rsidP="00351F6F">
      <w:pPr>
        <w:jc w:val="both"/>
        <w:rPr>
          <w:rFonts w:ascii="Tahoma" w:hAnsi="Tahoma" w:cs="Tahoma"/>
          <w:color w:val="000000"/>
          <w:sz w:val="20"/>
          <w:szCs w:val="20"/>
        </w:rPr>
      </w:pPr>
      <w:r w:rsidRPr="00E73022">
        <w:rPr>
          <w:rFonts w:ascii="Tahoma" w:hAnsi="Tahoma" w:cs="Tahoma"/>
          <w:color w:val="000000"/>
          <w:sz w:val="20"/>
          <w:szCs w:val="20"/>
        </w:rPr>
        <w:t xml:space="preserve">Ramírez Maynetto </w:t>
      </w:r>
    </w:p>
    <w:p w:rsidR="00351F6F" w:rsidRPr="00E73022" w:rsidRDefault="00351F6F" w:rsidP="00351F6F">
      <w:pPr>
        <w:jc w:val="both"/>
        <w:rPr>
          <w:rFonts w:ascii="Tahoma" w:hAnsi="Tahoma" w:cs="Tahoma"/>
          <w:sz w:val="20"/>
          <w:szCs w:val="20"/>
        </w:rPr>
      </w:pPr>
      <w:r w:rsidRPr="00E73022">
        <w:rPr>
          <w:rFonts w:ascii="Tahoma" w:hAnsi="Tahoma" w:cs="Tahoma"/>
          <w:sz w:val="20"/>
          <w:szCs w:val="20"/>
        </w:rPr>
        <w:t>Basulto Liewald.</w:t>
      </w:r>
    </w:p>
    <w:p w:rsidR="002C6D86" w:rsidRPr="00E73022" w:rsidRDefault="00F24AB2" w:rsidP="00351F6F">
      <w:pPr>
        <w:jc w:val="both"/>
        <w:rPr>
          <w:rFonts w:ascii="Tahoma" w:hAnsi="Tahoma" w:cs="Tahoma"/>
          <w:sz w:val="20"/>
          <w:szCs w:val="20"/>
        </w:rPr>
      </w:pPr>
    </w:p>
    <w:sectPr w:rsidR="002C6D86" w:rsidRPr="00E73022"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4AB2" w:rsidRDefault="00F24AB2" w:rsidP="00E13E6B">
      <w:r>
        <w:separator/>
      </w:r>
    </w:p>
  </w:endnote>
  <w:endnote w:type="continuationSeparator" w:id="1">
    <w:p w:rsidR="00F24AB2" w:rsidRDefault="00F24AB2"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F24AB2" w:rsidP="00E066F0">
    <w:pPr>
      <w:pStyle w:val="Piedepgina"/>
      <w:jc w:val="center"/>
    </w:pPr>
  </w:p>
  <w:p w:rsidR="00E066F0" w:rsidRDefault="005B0EEA" w:rsidP="00E066F0">
    <w:pPr>
      <w:pStyle w:val="Piedepgina"/>
      <w:jc w:val="center"/>
    </w:pPr>
    <w:r>
      <w:t xml:space="preserve">Página </w:t>
    </w:r>
    <w:r w:rsidR="00414982">
      <w:fldChar w:fldCharType="begin"/>
    </w:r>
    <w:r>
      <w:instrText>PAGE</w:instrText>
    </w:r>
    <w:r w:rsidR="00414982">
      <w:fldChar w:fldCharType="separate"/>
    </w:r>
    <w:r w:rsidR="00114ADD">
      <w:rPr>
        <w:noProof/>
      </w:rPr>
      <w:t>1</w:t>
    </w:r>
    <w:r w:rsidR="00414982">
      <w:fldChar w:fldCharType="end"/>
    </w:r>
    <w:r w:rsidRPr="006214E4">
      <w:t xml:space="preserve"> de </w:t>
    </w:r>
    <w:r w:rsidR="00414982">
      <w:fldChar w:fldCharType="begin"/>
    </w:r>
    <w:r>
      <w:instrText>NUMPAGES</w:instrText>
    </w:r>
    <w:r w:rsidR="00414982">
      <w:fldChar w:fldCharType="separate"/>
    </w:r>
    <w:r w:rsidR="00114ADD">
      <w:rPr>
        <w:noProof/>
      </w:rPr>
      <w:t>7</w:t>
    </w:r>
    <w:r w:rsidR="00414982">
      <w:fldChar w:fldCharType="end"/>
    </w:r>
  </w:p>
  <w:p w:rsidR="00E066F0" w:rsidRPr="00223795" w:rsidRDefault="00F24AB2"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4AB2" w:rsidRDefault="00F24AB2" w:rsidP="00E13E6B">
      <w:r>
        <w:separator/>
      </w:r>
    </w:p>
  </w:footnote>
  <w:footnote w:type="continuationSeparator" w:id="1">
    <w:p w:rsidR="00F24AB2" w:rsidRDefault="00F24AB2" w:rsidP="00E13E6B">
      <w:r>
        <w:continuationSeparator/>
      </w:r>
    </w:p>
  </w:footnote>
  <w:footnote w:id="2">
    <w:p w:rsidR="00E73022" w:rsidRPr="006904B0" w:rsidRDefault="00E73022" w:rsidP="00E73022">
      <w:pPr>
        <w:pStyle w:val="Textonotapie"/>
        <w:rPr>
          <w:rFonts w:ascii="Tahoma" w:hAnsi="Tahoma" w:cs="Tahoma"/>
          <w:sz w:val="16"/>
          <w:szCs w:val="16"/>
        </w:rPr>
      </w:pPr>
      <w:r w:rsidRPr="006904B0">
        <w:rPr>
          <w:rStyle w:val="Refdenotaalpie"/>
          <w:rFonts w:ascii="Tahoma" w:hAnsi="Tahoma" w:cs="Tahoma"/>
          <w:sz w:val="16"/>
          <w:szCs w:val="16"/>
        </w:rPr>
        <w:footnoteRef/>
      </w:r>
      <w:r w:rsidRPr="006904B0">
        <w:rPr>
          <w:rFonts w:ascii="Tahoma" w:hAnsi="Tahoma" w:cs="Tahoma"/>
          <w:sz w:val="16"/>
          <w:szCs w:val="16"/>
        </w:rPr>
        <w:t xml:space="preserve"> Documento obrante a folio № </w:t>
      </w:r>
      <w:r>
        <w:rPr>
          <w:rFonts w:ascii="Tahoma" w:hAnsi="Tahoma" w:cs="Tahoma"/>
          <w:sz w:val="16"/>
          <w:szCs w:val="16"/>
        </w:rPr>
        <w:t>107</w:t>
      </w:r>
      <w:r w:rsidRPr="006904B0">
        <w:rPr>
          <w:rFonts w:ascii="Tahoma" w:hAnsi="Tahoma" w:cs="Tahoma"/>
          <w:sz w:val="16"/>
          <w:szCs w:val="16"/>
        </w:rPr>
        <w:t xml:space="preserve"> del expediente administrativo.</w:t>
      </w:r>
    </w:p>
  </w:footnote>
  <w:footnote w:id="3">
    <w:p w:rsidR="00E73022" w:rsidRPr="00317B6D" w:rsidRDefault="00E73022" w:rsidP="00E73022">
      <w:pPr>
        <w:pStyle w:val="Textonotapie"/>
        <w:jc w:val="both"/>
        <w:rPr>
          <w:rFonts w:ascii="Tahoma" w:hAnsi="Tahoma" w:cs="Tahoma"/>
          <w:sz w:val="16"/>
          <w:szCs w:val="16"/>
        </w:rPr>
      </w:pPr>
      <w:r w:rsidRPr="00317B6D">
        <w:rPr>
          <w:rStyle w:val="Refdenotaalpie"/>
          <w:rFonts w:ascii="Tahoma" w:hAnsi="Tahoma" w:cs="Tahoma"/>
          <w:sz w:val="16"/>
          <w:szCs w:val="16"/>
        </w:rPr>
        <w:footnoteRef/>
      </w:r>
      <w:r w:rsidRPr="00317B6D">
        <w:rPr>
          <w:rFonts w:ascii="Tahoma" w:hAnsi="Tahoma" w:cs="Tahoma"/>
          <w:sz w:val="16"/>
          <w:szCs w:val="16"/>
        </w:rPr>
        <w:t xml:space="preserve"> </w:t>
      </w:r>
      <w:r w:rsidRPr="00317B6D">
        <w:rPr>
          <w:rFonts w:ascii="Tahoma" w:hAnsi="Tahoma" w:cs="Tahoma"/>
          <w:b/>
          <w:sz w:val="16"/>
          <w:szCs w:val="16"/>
        </w:rPr>
        <w:t>Artículo 237.- Infracciones y sanciones administrativas</w:t>
      </w:r>
    </w:p>
    <w:p w:rsidR="00E73022" w:rsidRPr="00317B6D" w:rsidRDefault="00E73022" w:rsidP="00E73022">
      <w:pPr>
        <w:pStyle w:val="Textonotapie"/>
        <w:tabs>
          <w:tab w:val="left" w:pos="0"/>
        </w:tabs>
        <w:jc w:val="both"/>
        <w:rPr>
          <w:rFonts w:ascii="Tahoma" w:hAnsi="Tahoma" w:cs="Tahoma"/>
          <w:sz w:val="16"/>
          <w:szCs w:val="16"/>
        </w:rPr>
      </w:pPr>
      <w:r w:rsidRPr="00317B6D">
        <w:rPr>
          <w:rFonts w:ascii="Tahoma" w:hAnsi="Tahoma" w:cs="Tahoma"/>
          <w:sz w:val="16"/>
          <w:szCs w:val="16"/>
        </w:rPr>
        <w:t xml:space="preserve">1.Infracciones </w:t>
      </w:r>
    </w:p>
    <w:p w:rsidR="00E73022" w:rsidRPr="00317B6D" w:rsidRDefault="00E73022" w:rsidP="00E73022">
      <w:pPr>
        <w:pStyle w:val="Textonotapie"/>
        <w:jc w:val="both"/>
        <w:rPr>
          <w:rFonts w:ascii="Tahoma" w:hAnsi="Tahoma" w:cs="Tahoma"/>
          <w:sz w:val="16"/>
          <w:szCs w:val="16"/>
        </w:rPr>
      </w:pPr>
      <w:r w:rsidRPr="00317B6D">
        <w:rPr>
          <w:rFonts w:ascii="Tahoma" w:hAnsi="Tahoma" w:cs="Tahoma"/>
          <w:sz w:val="16"/>
          <w:szCs w:val="16"/>
        </w:rPr>
        <w:t>El Tribunal impondrá la sanción administrativa de inhabilitación temporal o definitiva a los proveedores, participantes, postores y/o contratistas que:</w:t>
      </w:r>
    </w:p>
    <w:p w:rsidR="00E73022" w:rsidRPr="00317B6D" w:rsidRDefault="00E73022" w:rsidP="00E73022">
      <w:pPr>
        <w:pStyle w:val="Textonotapie"/>
        <w:jc w:val="both"/>
        <w:rPr>
          <w:rFonts w:ascii="Tahoma" w:hAnsi="Tahoma" w:cs="Tahoma"/>
          <w:sz w:val="16"/>
          <w:szCs w:val="16"/>
        </w:rPr>
      </w:pPr>
      <w:r w:rsidRPr="00317B6D">
        <w:rPr>
          <w:rFonts w:ascii="Tahoma" w:hAnsi="Tahoma" w:cs="Tahoma"/>
          <w:sz w:val="16"/>
          <w:szCs w:val="16"/>
        </w:rPr>
        <w:t>[…]</w:t>
      </w:r>
    </w:p>
    <w:p w:rsidR="00E73022" w:rsidRPr="00317B6D" w:rsidRDefault="00E73022" w:rsidP="00E73022">
      <w:pPr>
        <w:pStyle w:val="Textonotapie"/>
        <w:jc w:val="both"/>
        <w:rPr>
          <w:rFonts w:ascii="Tahoma" w:hAnsi="Tahoma" w:cs="Tahoma"/>
          <w:sz w:val="16"/>
          <w:szCs w:val="16"/>
        </w:rPr>
      </w:pPr>
      <w:r w:rsidRPr="00317B6D">
        <w:rPr>
          <w:rFonts w:ascii="Tahoma" w:hAnsi="Tahoma" w:cs="Tahoma"/>
          <w:sz w:val="16"/>
          <w:szCs w:val="16"/>
        </w:rPr>
        <w:t xml:space="preserve">d) Contraten con el Estado estando impedidos para ello, de acuerdo a lo establecido en el Artículo 10 de </w:t>
      </w:r>
      <w:smartTag w:uri="urn:schemas-microsoft-com:office:smarttags" w:element="PersonName">
        <w:smartTagPr>
          <w:attr w:name="ProductID" w:val="la Ley"/>
        </w:smartTagPr>
        <w:r w:rsidRPr="00317B6D">
          <w:rPr>
            <w:rFonts w:ascii="Tahoma" w:hAnsi="Tahoma" w:cs="Tahoma"/>
            <w:sz w:val="16"/>
            <w:szCs w:val="16"/>
          </w:rPr>
          <w:t>la Ley</w:t>
        </w:r>
      </w:smartTag>
      <w:r w:rsidRPr="00317B6D">
        <w:rPr>
          <w:rFonts w:ascii="Tahoma" w:hAnsi="Tahoma" w:cs="Tahoma"/>
          <w:sz w:val="16"/>
          <w:szCs w:val="16"/>
        </w:rPr>
        <w:t>;</w:t>
      </w:r>
    </w:p>
    <w:p w:rsidR="00E73022" w:rsidRPr="00E54A9E" w:rsidRDefault="00E73022" w:rsidP="00E73022">
      <w:pPr>
        <w:pStyle w:val="Textonotapie"/>
        <w:jc w:val="both"/>
        <w:rPr>
          <w:rFonts w:ascii="Tahoma" w:hAnsi="Tahoma" w:cs="Tahoma"/>
          <w:sz w:val="18"/>
          <w:szCs w:val="18"/>
        </w:rPr>
      </w:pPr>
      <w:r w:rsidRPr="00317B6D">
        <w:rPr>
          <w:rFonts w:ascii="Tahoma" w:hAnsi="Tahoma" w:cs="Tahoma"/>
          <w:sz w:val="16"/>
          <w:szCs w:val="16"/>
        </w:rPr>
        <w:t>[…]</w:t>
      </w:r>
    </w:p>
  </w:footnote>
  <w:footnote w:id="4">
    <w:p w:rsidR="00E73022" w:rsidRPr="00025D3B" w:rsidRDefault="00E73022" w:rsidP="00E73022">
      <w:pPr>
        <w:pStyle w:val="Textonotapie"/>
        <w:jc w:val="both"/>
        <w:rPr>
          <w:sz w:val="18"/>
          <w:szCs w:val="18"/>
        </w:rPr>
      </w:pPr>
      <w:r w:rsidRPr="00025D3B">
        <w:rPr>
          <w:rStyle w:val="Refdenotaalpie"/>
          <w:sz w:val="18"/>
          <w:szCs w:val="18"/>
        </w:rPr>
        <w:footnoteRef/>
      </w:r>
      <w:r w:rsidRPr="00025D3B">
        <w:rPr>
          <w:sz w:val="18"/>
          <w:szCs w:val="18"/>
        </w:rPr>
        <w:t xml:space="preserve"> </w:t>
      </w:r>
      <w:r w:rsidRPr="00BA726F">
        <w:rPr>
          <w:i/>
          <w:sz w:val="18"/>
          <w:szCs w:val="18"/>
        </w:rPr>
        <w:t xml:space="preserve">Texto extraído de la Opinión </w:t>
      </w:r>
      <w:r>
        <w:rPr>
          <w:i/>
          <w:sz w:val="18"/>
          <w:szCs w:val="18"/>
        </w:rPr>
        <w:t>№</w:t>
      </w:r>
      <w:r w:rsidRPr="00BA726F">
        <w:rPr>
          <w:i/>
          <w:sz w:val="18"/>
          <w:szCs w:val="18"/>
        </w:rPr>
        <w:t xml:space="preserve"> 005-2009/DOP del 29 de enero de 2009.</w:t>
      </w:r>
    </w:p>
  </w:footnote>
  <w:footnote w:id="5">
    <w:p w:rsidR="00E73022" w:rsidRPr="00F45A12" w:rsidRDefault="00E73022" w:rsidP="00E73022">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E73022" w:rsidRPr="00F45A12" w:rsidRDefault="00E73022" w:rsidP="00E73022">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E73022" w:rsidRPr="00F45A12" w:rsidRDefault="00E73022" w:rsidP="00E73022">
      <w:pPr>
        <w:pStyle w:val="Textonotapie"/>
        <w:rPr>
          <w:sz w:val="16"/>
          <w:szCs w:val="16"/>
          <w:lang w:val="es-ES_tradnl"/>
        </w:rPr>
      </w:pPr>
      <w:r w:rsidRPr="00F45A12">
        <w:rPr>
          <w:sz w:val="16"/>
          <w:szCs w:val="16"/>
          <w:lang w:val="es-ES_tradnl"/>
        </w:rPr>
        <w:t>1) Naturaleza de la infracción.</w:t>
      </w:r>
    </w:p>
    <w:p w:rsidR="00E73022" w:rsidRPr="00F45A12" w:rsidRDefault="00E73022" w:rsidP="00E73022">
      <w:pPr>
        <w:pStyle w:val="Textonotapie"/>
        <w:rPr>
          <w:sz w:val="16"/>
          <w:szCs w:val="16"/>
          <w:lang w:val="es-ES_tradnl"/>
        </w:rPr>
      </w:pPr>
      <w:r w:rsidRPr="00F45A12">
        <w:rPr>
          <w:sz w:val="16"/>
          <w:szCs w:val="16"/>
          <w:lang w:val="es-ES_tradnl"/>
        </w:rPr>
        <w:t>2) Intencionalidad del infractor.</w:t>
      </w:r>
    </w:p>
    <w:p w:rsidR="00E73022" w:rsidRPr="00F45A12" w:rsidRDefault="00E73022" w:rsidP="00E73022">
      <w:pPr>
        <w:pStyle w:val="Textonotapie"/>
        <w:rPr>
          <w:sz w:val="16"/>
          <w:szCs w:val="16"/>
          <w:lang w:val="es-ES_tradnl"/>
        </w:rPr>
      </w:pPr>
      <w:r w:rsidRPr="00F45A12">
        <w:rPr>
          <w:sz w:val="16"/>
          <w:szCs w:val="16"/>
          <w:lang w:val="es-ES_tradnl"/>
        </w:rPr>
        <w:t>3) Daño causado.</w:t>
      </w:r>
    </w:p>
    <w:p w:rsidR="00E73022" w:rsidRPr="00F45A12" w:rsidRDefault="00E73022" w:rsidP="00E73022">
      <w:pPr>
        <w:pStyle w:val="Textonotapie"/>
        <w:rPr>
          <w:sz w:val="16"/>
          <w:szCs w:val="16"/>
          <w:lang w:val="es-ES_tradnl"/>
        </w:rPr>
      </w:pPr>
      <w:r w:rsidRPr="00F45A12">
        <w:rPr>
          <w:sz w:val="16"/>
          <w:szCs w:val="16"/>
          <w:lang w:val="es-ES_tradnl"/>
        </w:rPr>
        <w:t>4) Reiterancia</w:t>
      </w:r>
    </w:p>
    <w:p w:rsidR="00E73022" w:rsidRPr="00F45A12" w:rsidRDefault="00E73022" w:rsidP="00E73022">
      <w:pPr>
        <w:pStyle w:val="Textonotapie"/>
        <w:rPr>
          <w:sz w:val="16"/>
          <w:szCs w:val="16"/>
          <w:lang w:val="es-ES_tradnl"/>
        </w:rPr>
      </w:pPr>
      <w:r w:rsidRPr="00F45A12">
        <w:rPr>
          <w:sz w:val="16"/>
          <w:szCs w:val="16"/>
          <w:lang w:val="es-ES_tradnl"/>
        </w:rPr>
        <w:t>5) El reconocimiento de la infracción cometida antes de que sea detectada.</w:t>
      </w:r>
    </w:p>
    <w:p w:rsidR="00E73022" w:rsidRPr="00F45A12" w:rsidRDefault="00E73022" w:rsidP="00E73022">
      <w:pPr>
        <w:pStyle w:val="Textonotapie"/>
        <w:rPr>
          <w:sz w:val="16"/>
          <w:szCs w:val="16"/>
          <w:lang w:val="es-ES_tradnl"/>
        </w:rPr>
      </w:pPr>
      <w:r w:rsidRPr="00F45A12">
        <w:rPr>
          <w:sz w:val="16"/>
          <w:szCs w:val="16"/>
          <w:lang w:val="es-ES_tradnl"/>
        </w:rPr>
        <w:t>6) Circunstancias de tiempo, lugar y modo.</w:t>
      </w:r>
    </w:p>
    <w:p w:rsidR="00E73022" w:rsidRPr="00F45A12" w:rsidRDefault="00E73022" w:rsidP="00E73022">
      <w:pPr>
        <w:pStyle w:val="Textonotapie"/>
        <w:rPr>
          <w:sz w:val="16"/>
          <w:szCs w:val="16"/>
          <w:lang w:val="es-ES_tradnl"/>
        </w:rPr>
      </w:pPr>
      <w:r w:rsidRPr="00F45A12">
        <w:rPr>
          <w:sz w:val="16"/>
          <w:szCs w:val="16"/>
          <w:lang w:val="es-ES_tradnl"/>
        </w:rPr>
        <w:t>7) Condiciones del infractor.</w:t>
      </w:r>
    </w:p>
    <w:p w:rsidR="00E73022" w:rsidRPr="00F45A12" w:rsidRDefault="00E73022" w:rsidP="00E73022">
      <w:pPr>
        <w:pStyle w:val="Textonotapie"/>
        <w:rPr>
          <w:sz w:val="16"/>
          <w:szCs w:val="16"/>
          <w:lang w:val="es-ES_tradnl"/>
        </w:rPr>
      </w:pPr>
      <w:r w:rsidRPr="00F45A12">
        <w:rPr>
          <w:sz w:val="16"/>
          <w:szCs w:val="16"/>
          <w:lang w:val="es-ES_tradnl"/>
        </w:rPr>
        <w:t>8) Conducta procesa del infractor.</w:t>
      </w:r>
    </w:p>
    <w:p w:rsidR="00E73022" w:rsidRPr="002B1AB9" w:rsidRDefault="00E73022" w:rsidP="00E73022">
      <w:pPr>
        <w:pStyle w:val="Textonotapie"/>
        <w:rPr>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ADD" w:rsidRDefault="00114ADD" w:rsidP="00114ADD">
    <w:pPr>
      <w:pStyle w:val="Encabezado"/>
      <w:rPr>
        <w:noProof/>
      </w:rPr>
    </w:pPr>
    <w:r>
      <w:rPr>
        <w:noProof/>
      </w:rPr>
      <w:drawing>
        <wp:anchor distT="0" distB="0" distL="114300" distR="114300" simplePos="0" relativeHeight="251660288"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a:ln w="9525">
                    <a:noFill/>
                    <a:miter lim="800000"/>
                    <a:headEnd/>
                    <a:tailEnd/>
                  </a:ln>
                </pic:spPr>
              </pic:pic>
            </a:graphicData>
          </a:graphic>
        </wp:anchor>
      </w:drawing>
    </w:r>
  </w:p>
  <w:p w:rsidR="00114ADD" w:rsidRDefault="00114ADD" w:rsidP="00114ADD">
    <w:pPr>
      <w:pStyle w:val="Encabezado"/>
      <w:rPr>
        <w:noProof/>
      </w:rPr>
    </w:pPr>
  </w:p>
  <w:p w:rsidR="00114ADD" w:rsidRDefault="00114ADD" w:rsidP="00114ADD">
    <w:pPr>
      <w:pStyle w:val="Encabezado"/>
      <w:rPr>
        <w:noProof/>
      </w:rPr>
    </w:pPr>
  </w:p>
  <w:p w:rsidR="00114ADD" w:rsidRDefault="00114ADD" w:rsidP="00114ADD">
    <w:pPr>
      <w:pStyle w:val="Encabezado"/>
      <w:rPr>
        <w:noProof/>
      </w:rPr>
    </w:pPr>
  </w:p>
  <w:p w:rsidR="00114ADD" w:rsidRDefault="00114ADD" w:rsidP="00114ADD">
    <w:pPr>
      <w:pStyle w:val="Encabezado"/>
      <w:jc w:val="center"/>
    </w:pPr>
    <w:r>
      <w:rPr>
        <w:rFonts w:ascii="Monotype Corsiva" w:hAnsi="Monotype Corsiva"/>
        <w:b/>
        <w:sz w:val="44"/>
        <w:szCs w:val="44"/>
      </w:rPr>
      <w:t xml:space="preserve">Resolución Nº   </w:t>
    </w:r>
    <w:r>
      <w:rPr>
        <w:rFonts w:ascii="Tahoma" w:hAnsi="Tahoma" w:cs="Tahoma"/>
        <w:b/>
        <w:sz w:val="44"/>
        <w:szCs w:val="44"/>
      </w:rPr>
      <w:t>822-2011-TC-S1</w:t>
    </w:r>
  </w:p>
  <w:p w:rsidR="00114ADD" w:rsidRDefault="00114AD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F112858"/>
    <w:multiLevelType w:val="hybridMultilevel"/>
    <w:tmpl w:val="8BDE3E86"/>
    <w:lvl w:ilvl="0" w:tplc="E506AAEC">
      <w:start w:val="1"/>
      <w:numFmt w:val="decimal"/>
      <w:lvlText w:val="%1."/>
      <w:lvlJc w:val="left"/>
      <w:pPr>
        <w:tabs>
          <w:tab w:val="num" w:pos="1068"/>
        </w:tabs>
        <w:ind w:left="1068" w:hanging="360"/>
      </w:pPr>
      <w:rPr>
        <w:rFonts w:ascii="Tahoma" w:hAnsi="Tahoma" w:cs="Times New Roman" w:hint="default"/>
        <w:b/>
        <w:i w:val="0"/>
        <w:shadow/>
        <w:sz w:val="23"/>
        <w:szCs w:val="23"/>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2">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6">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7">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9">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1">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2">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5">
    <w:nsid w:val="61862456"/>
    <w:multiLevelType w:val="hybridMultilevel"/>
    <w:tmpl w:val="9692D620"/>
    <w:lvl w:ilvl="0" w:tplc="37B0B456">
      <w:start w:val="1"/>
      <w:numFmt w:val="decimal"/>
      <w:lvlText w:val="%1."/>
      <w:lvlJc w:val="left"/>
      <w:pPr>
        <w:tabs>
          <w:tab w:val="num" w:pos="360"/>
        </w:tabs>
        <w:ind w:left="360" w:hanging="360"/>
      </w:pPr>
      <w:rPr>
        <w:b/>
        <w:sz w:val="20"/>
        <w:szCs w:val="20"/>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6">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8">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4"/>
  </w:num>
  <w:num w:numId="4">
    <w:abstractNumId w:val="1"/>
  </w:num>
  <w:num w:numId="5">
    <w:abstractNumId w:val="29"/>
  </w:num>
  <w:num w:numId="6">
    <w:abstractNumId w:val="24"/>
  </w:num>
  <w:num w:numId="7">
    <w:abstractNumId w:val="22"/>
  </w:num>
  <w:num w:numId="8">
    <w:abstractNumId w:val="28"/>
  </w:num>
  <w:num w:numId="9">
    <w:abstractNumId w:val="20"/>
  </w:num>
  <w:num w:numId="10">
    <w:abstractNumId w:val="17"/>
  </w:num>
  <w:num w:numId="11">
    <w:abstractNumId w:val="4"/>
  </w:num>
  <w:num w:numId="12">
    <w:abstractNumId w:val="12"/>
  </w:num>
  <w:num w:numId="13">
    <w:abstractNumId w:val="2"/>
  </w:num>
  <w:num w:numId="14">
    <w:abstractNumId w:val="15"/>
  </w:num>
  <w:num w:numId="15">
    <w:abstractNumId w:val="21"/>
  </w:num>
  <w:num w:numId="16">
    <w:abstractNumId w:val="11"/>
  </w:num>
  <w:num w:numId="17">
    <w:abstractNumId w:val="23"/>
  </w:num>
  <w:num w:numId="18">
    <w:abstractNumId w:val="10"/>
  </w:num>
  <w:num w:numId="19">
    <w:abstractNumId w:val="26"/>
  </w:num>
  <w:num w:numId="20">
    <w:abstractNumId w:val="16"/>
  </w:num>
  <w:num w:numId="21">
    <w:abstractNumId w:val="7"/>
  </w:num>
  <w:num w:numId="22">
    <w:abstractNumId w:val="18"/>
  </w:num>
  <w:num w:numId="23">
    <w:abstractNumId w:val="9"/>
  </w:num>
  <w:num w:numId="24">
    <w:abstractNumId w:val="3"/>
  </w:num>
  <w:num w:numId="25">
    <w:abstractNumId w:val="0"/>
  </w:num>
  <w:num w:numId="26">
    <w:abstractNumId w:val="27"/>
  </w:num>
  <w:num w:numId="27">
    <w:abstractNumId w:val="1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5"/>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530"/>
  </w:hdrShapeDefaults>
  <w:footnotePr>
    <w:footnote w:id="0"/>
    <w:footnote w:id="1"/>
  </w:footnotePr>
  <w:endnotePr>
    <w:endnote w:id="0"/>
    <w:endnote w:id="1"/>
  </w:endnotePr>
  <w:compat/>
  <w:rsids>
    <w:rsidRoot w:val="00E13E6B"/>
    <w:rsid w:val="00000BF4"/>
    <w:rsid w:val="00016207"/>
    <w:rsid w:val="00027FB1"/>
    <w:rsid w:val="00036145"/>
    <w:rsid w:val="00041FBA"/>
    <w:rsid w:val="0005582F"/>
    <w:rsid w:val="00082DF1"/>
    <w:rsid w:val="000B0A8A"/>
    <w:rsid w:val="000B0CEB"/>
    <w:rsid w:val="000B6C24"/>
    <w:rsid w:val="000D61B8"/>
    <w:rsid w:val="000E3E0B"/>
    <w:rsid w:val="000E5424"/>
    <w:rsid w:val="000E7801"/>
    <w:rsid w:val="001016D9"/>
    <w:rsid w:val="00114ADD"/>
    <w:rsid w:val="001337F7"/>
    <w:rsid w:val="00140241"/>
    <w:rsid w:val="00140DE4"/>
    <w:rsid w:val="00164CC7"/>
    <w:rsid w:val="001776B6"/>
    <w:rsid w:val="00187209"/>
    <w:rsid w:val="00187E2A"/>
    <w:rsid w:val="001C5BD6"/>
    <w:rsid w:val="001E448B"/>
    <w:rsid w:val="001E71F0"/>
    <w:rsid w:val="001F5C44"/>
    <w:rsid w:val="00214D5E"/>
    <w:rsid w:val="00222218"/>
    <w:rsid w:val="0022267E"/>
    <w:rsid w:val="00231184"/>
    <w:rsid w:val="0023169C"/>
    <w:rsid w:val="00254249"/>
    <w:rsid w:val="00256F3E"/>
    <w:rsid w:val="002837D2"/>
    <w:rsid w:val="00295C50"/>
    <w:rsid w:val="00331E1A"/>
    <w:rsid w:val="003430DE"/>
    <w:rsid w:val="00351F6F"/>
    <w:rsid w:val="00360AFE"/>
    <w:rsid w:val="003B4F9C"/>
    <w:rsid w:val="00414982"/>
    <w:rsid w:val="004255A5"/>
    <w:rsid w:val="00440D71"/>
    <w:rsid w:val="00442AC8"/>
    <w:rsid w:val="004515EA"/>
    <w:rsid w:val="00455F96"/>
    <w:rsid w:val="00466DC8"/>
    <w:rsid w:val="004C487F"/>
    <w:rsid w:val="004C5043"/>
    <w:rsid w:val="004F2CC5"/>
    <w:rsid w:val="00531D1E"/>
    <w:rsid w:val="005521E5"/>
    <w:rsid w:val="00567032"/>
    <w:rsid w:val="0057348B"/>
    <w:rsid w:val="005B0EEA"/>
    <w:rsid w:val="005B1E24"/>
    <w:rsid w:val="005E3E1C"/>
    <w:rsid w:val="005F3C91"/>
    <w:rsid w:val="00635F2E"/>
    <w:rsid w:val="00642EE3"/>
    <w:rsid w:val="0065269D"/>
    <w:rsid w:val="006550D3"/>
    <w:rsid w:val="006B6377"/>
    <w:rsid w:val="006C0A94"/>
    <w:rsid w:val="006C2E41"/>
    <w:rsid w:val="006C5B6A"/>
    <w:rsid w:val="006D0A8D"/>
    <w:rsid w:val="006D2E88"/>
    <w:rsid w:val="006E4E4E"/>
    <w:rsid w:val="006E5571"/>
    <w:rsid w:val="006E5BF8"/>
    <w:rsid w:val="006F0656"/>
    <w:rsid w:val="006F3B1E"/>
    <w:rsid w:val="0074555F"/>
    <w:rsid w:val="007570AE"/>
    <w:rsid w:val="00763CC8"/>
    <w:rsid w:val="00766749"/>
    <w:rsid w:val="007728C3"/>
    <w:rsid w:val="007D7E70"/>
    <w:rsid w:val="007E4F29"/>
    <w:rsid w:val="008011A4"/>
    <w:rsid w:val="00822C2F"/>
    <w:rsid w:val="00826B5E"/>
    <w:rsid w:val="00835165"/>
    <w:rsid w:val="008422E3"/>
    <w:rsid w:val="008734E8"/>
    <w:rsid w:val="008F7695"/>
    <w:rsid w:val="00903A92"/>
    <w:rsid w:val="009066F9"/>
    <w:rsid w:val="00920048"/>
    <w:rsid w:val="0092385F"/>
    <w:rsid w:val="0092699F"/>
    <w:rsid w:val="00932E06"/>
    <w:rsid w:val="00952222"/>
    <w:rsid w:val="00982D52"/>
    <w:rsid w:val="00992FEE"/>
    <w:rsid w:val="00993C05"/>
    <w:rsid w:val="009C2CF7"/>
    <w:rsid w:val="009E1F2A"/>
    <w:rsid w:val="00A52C81"/>
    <w:rsid w:val="00A9776E"/>
    <w:rsid w:val="00AA6BAC"/>
    <w:rsid w:val="00AA7525"/>
    <w:rsid w:val="00AB0F61"/>
    <w:rsid w:val="00AD4AB5"/>
    <w:rsid w:val="00B05429"/>
    <w:rsid w:val="00B06760"/>
    <w:rsid w:val="00B1735A"/>
    <w:rsid w:val="00B25FCD"/>
    <w:rsid w:val="00B31BA1"/>
    <w:rsid w:val="00B71CFC"/>
    <w:rsid w:val="00B91419"/>
    <w:rsid w:val="00BE51B2"/>
    <w:rsid w:val="00BE67EB"/>
    <w:rsid w:val="00BF2C04"/>
    <w:rsid w:val="00C15ECB"/>
    <w:rsid w:val="00C5251B"/>
    <w:rsid w:val="00C7721D"/>
    <w:rsid w:val="00C8148D"/>
    <w:rsid w:val="00CB4799"/>
    <w:rsid w:val="00CC3859"/>
    <w:rsid w:val="00CC52A3"/>
    <w:rsid w:val="00D002B4"/>
    <w:rsid w:val="00D069FF"/>
    <w:rsid w:val="00D115F8"/>
    <w:rsid w:val="00D13BC9"/>
    <w:rsid w:val="00D43251"/>
    <w:rsid w:val="00D445DC"/>
    <w:rsid w:val="00DA127C"/>
    <w:rsid w:val="00DA2C25"/>
    <w:rsid w:val="00DC3001"/>
    <w:rsid w:val="00DD1154"/>
    <w:rsid w:val="00DD589B"/>
    <w:rsid w:val="00E124B8"/>
    <w:rsid w:val="00E13E6B"/>
    <w:rsid w:val="00E1470E"/>
    <w:rsid w:val="00E633EF"/>
    <w:rsid w:val="00E73022"/>
    <w:rsid w:val="00E77676"/>
    <w:rsid w:val="00E964AA"/>
    <w:rsid w:val="00EC4953"/>
    <w:rsid w:val="00EE4815"/>
    <w:rsid w:val="00EE7A6B"/>
    <w:rsid w:val="00F24AB2"/>
    <w:rsid w:val="00F3647A"/>
    <w:rsid w:val="00F4438A"/>
    <w:rsid w:val="00F50510"/>
    <w:rsid w:val="00F66D53"/>
    <w:rsid w:val="00F77525"/>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34"/>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styleId="NormalWeb">
    <w:name w:val="Normal (Web)"/>
    <w:basedOn w:val="Normal"/>
    <w:uiPriority w:val="99"/>
    <w:rsid w:val="00E73022"/>
    <w:pPr>
      <w:spacing w:before="100" w:beforeAutospacing="1" w:after="100" w:afterAutospacing="1"/>
    </w:pPr>
    <w:rPr>
      <w:rFonts w:eastAsia="Times New Roman"/>
    </w:rPr>
  </w:style>
  <w:style w:type="paragraph" w:styleId="Encabezado">
    <w:name w:val="header"/>
    <w:aliases w:val="maria,h"/>
    <w:basedOn w:val="Normal"/>
    <w:link w:val="EncabezadoCar"/>
    <w:uiPriority w:val="99"/>
    <w:unhideWhenUsed/>
    <w:rsid w:val="00114ADD"/>
    <w:pPr>
      <w:tabs>
        <w:tab w:val="center" w:pos="4252"/>
        <w:tab w:val="right" w:pos="8504"/>
      </w:tabs>
    </w:pPr>
  </w:style>
  <w:style w:type="character" w:customStyle="1" w:styleId="EncabezadoCar">
    <w:name w:val="Encabezado Car"/>
    <w:aliases w:val="maria Car,h Car"/>
    <w:basedOn w:val="Fuentedeprrafopredeter"/>
    <w:link w:val="Encabezado"/>
    <w:uiPriority w:val="99"/>
    <w:rsid w:val="00114ADD"/>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7</Pages>
  <Words>2860</Words>
  <Characters>15733</Characters>
  <Application>Microsoft Office Word</Application>
  <DocSecurity>0</DocSecurity>
  <Lines>131</Lines>
  <Paragraphs>37</Paragraphs>
  <ScaleCrop>false</ScaleCrop>
  <Company/>
  <LinksUpToDate>false</LinksUpToDate>
  <CharactersWithSpaces>18556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119</cp:revision>
  <cp:lastPrinted>2011-05-16T15:52:00Z</cp:lastPrinted>
  <dcterms:created xsi:type="dcterms:W3CDTF">2010-04-16T12:41:00Z</dcterms:created>
  <dcterms:modified xsi:type="dcterms:W3CDTF">2011-06-22T14:17:00Z</dcterms:modified>
</cp:coreProperties>
</file>